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794" w:rsidRPr="005F2AF3" w:rsidRDefault="00DB6794" w:rsidP="005F2AF3">
      <w:pPr>
        <w:pStyle w:val="Heading1"/>
      </w:pPr>
      <w:bookmarkStart w:id="0" w:name="_GoBack"/>
      <w:bookmarkEnd w:id="0"/>
      <w:r w:rsidRPr="005F2AF3">
        <w:t>CHAPTER 1</w:t>
      </w:r>
    </w:p>
    <w:p w:rsidR="00DB6794" w:rsidRDefault="00DB6794" w:rsidP="005F2AF3">
      <w:pPr>
        <w:pStyle w:val="text"/>
        <w:jc w:val="center"/>
        <w:rPr>
          <w:b/>
        </w:rPr>
      </w:pPr>
      <w:r w:rsidRPr="005F2AF3">
        <w:rPr>
          <w:b/>
        </w:rPr>
        <w:t>T</w:t>
      </w:r>
      <w:r w:rsidR="00331FA3" w:rsidRPr="005F2AF3">
        <w:rPr>
          <w:b/>
        </w:rPr>
        <w:t>he</w:t>
      </w:r>
      <w:r w:rsidRPr="005F2AF3">
        <w:rPr>
          <w:b/>
        </w:rPr>
        <w:t xml:space="preserve"> </w:t>
      </w:r>
      <w:r w:rsidR="00331FA3" w:rsidRPr="005F2AF3">
        <w:rPr>
          <w:b/>
        </w:rPr>
        <w:t>Demand for and Supply of Financial Accounting Information</w:t>
      </w:r>
    </w:p>
    <w:p w:rsidR="006B444D" w:rsidRDefault="006B444D" w:rsidP="005F2AF3">
      <w:pPr>
        <w:pStyle w:val="text"/>
        <w:jc w:val="center"/>
        <w:rPr>
          <w:b/>
        </w:rPr>
      </w:pPr>
    </w:p>
    <w:p w:rsidR="006B444D" w:rsidRPr="00CB188F" w:rsidRDefault="006B444D" w:rsidP="006B444D">
      <w:pPr>
        <w:pStyle w:val="text"/>
        <w:rPr>
          <w:u w:val="single"/>
        </w:rPr>
      </w:pPr>
      <w:r w:rsidRPr="00CB188F">
        <w:rPr>
          <w:u w:val="single"/>
        </w:rPr>
        <w:t xml:space="preserve">CONTENT ANALYSIS OF </w:t>
      </w:r>
      <w:r w:rsidRPr="00CB188F">
        <w:rPr>
          <w:rFonts w:cs="Tahoma"/>
          <w:color w:val="000000"/>
          <w:szCs w:val="20"/>
          <w:u w:val="single"/>
        </w:rPr>
        <w:t>END-OF-CHAPTER ASSIGNMENTS</w:t>
      </w:r>
    </w:p>
    <w:p w:rsidR="006B444D" w:rsidRDefault="006B444D" w:rsidP="006B444D">
      <w:pPr>
        <w:pStyle w:val="text"/>
      </w:pPr>
    </w:p>
    <w:tbl>
      <w:tblPr>
        <w:tblW w:w="12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825"/>
        <w:gridCol w:w="2146"/>
        <w:gridCol w:w="2862"/>
        <w:gridCol w:w="288"/>
        <w:gridCol w:w="717"/>
        <w:gridCol w:w="1252"/>
        <w:gridCol w:w="431"/>
        <w:gridCol w:w="1288"/>
        <w:gridCol w:w="1432"/>
        <w:gridCol w:w="1575"/>
      </w:tblGrid>
      <w:tr w:rsidR="006B444D" w:rsidRPr="00F06876" w:rsidTr="009571F6">
        <w:trPr>
          <w:trHeight w:val="300"/>
        </w:trPr>
        <w:tc>
          <w:tcPr>
            <w:tcW w:w="825" w:type="dxa"/>
            <w:shd w:val="clear" w:color="auto" w:fill="auto"/>
            <w:noWrap/>
            <w:tcMar>
              <w:top w:w="10" w:type="dxa"/>
              <w:left w:w="10" w:type="dxa"/>
              <w:bottom w:w="0" w:type="dxa"/>
              <w:right w:w="10" w:type="dxa"/>
            </w:tcMar>
            <w:vAlign w:val="bottom"/>
            <w:hideMark/>
          </w:tcPr>
          <w:p w:rsidR="006B444D" w:rsidRPr="00F06876" w:rsidRDefault="006B444D" w:rsidP="00B91A3B">
            <w:pPr>
              <w:pStyle w:val="Gridtextheads"/>
            </w:pPr>
            <w:r w:rsidRPr="00F06876">
              <w:t>Number</w:t>
            </w:r>
          </w:p>
        </w:tc>
        <w:tc>
          <w:tcPr>
            <w:tcW w:w="2146" w:type="dxa"/>
            <w:shd w:val="clear" w:color="auto" w:fill="auto"/>
            <w:tcMar>
              <w:top w:w="10" w:type="dxa"/>
              <w:left w:w="10" w:type="dxa"/>
              <w:bottom w:w="0" w:type="dxa"/>
              <w:right w:w="10" w:type="dxa"/>
            </w:tcMar>
            <w:vAlign w:val="bottom"/>
            <w:hideMark/>
          </w:tcPr>
          <w:p w:rsidR="006B444D" w:rsidRPr="00F06876" w:rsidRDefault="006B444D" w:rsidP="00B91A3B">
            <w:pPr>
              <w:pStyle w:val="Gridtextheads"/>
            </w:pPr>
            <w:r w:rsidRPr="00F06876">
              <w:t>Topic</w:t>
            </w:r>
          </w:p>
        </w:tc>
        <w:tc>
          <w:tcPr>
            <w:tcW w:w="2862" w:type="dxa"/>
            <w:shd w:val="clear" w:color="auto" w:fill="auto"/>
            <w:tcMar>
              <w:top w:w="10" w:type="dxa"/>
              <w:left w:w="10" w:type="dxa"/>
              <w:bottom w:w="0" w:type="dxa"/>
              <w:right w:w="10" w:type="dxa"/>
            </w:tcMar>
            <w:vAlign w:val="bottom"/>
            <w:hideMark/>
          </w:tcPr>
          <w:p w:rsidR="006B444D" w:rsidRPr="00F06876" w:rsidRDefault="006B444D" w:rsidP="00B91A3B">
            <w:pPr>
              <w:pStyle w:val="Gridtextheads"/>
            </w:pPr>
            <w:r w:rsidRPr="00F06876">
              <w:t>Content</w:t>
            </w:r>
          </w:p>
        </w:tc>
        <w:tc>
          <w:tcPr>
            <w:tcW w:w="288" w:type="dxa"/>
            <w:shd w:val="clear" w:color="auto" w:fill="auto"/>
            <w:tcMar>
              <w:top w:w="10" w:type="dxa"/>
              <w:left w:w="10" w:type="dxa"/>
              <w:bottom w:w="0" w:type="dxa"/>
              <w:right w:w="10" w:type="dxa"/>
            </w:tcMar>
            <w:vAlign w:val="bottom"/>
            <w:hideMark/>
          </w:tcPr>
          <w:p w:rsidR="006B444D" w:rsidRPr="00F06876" w:rsidRDefault="006B444D" w:rsidP="00A415D1">
            <w:pPr>
              <w:pStyle w:val="Gridtextheads"/>
            </w:pPr>
            <w:r w:rsidRPr="00F06876">
              <w:t>LO</w:t>
            </w:r>
          </w:p>
        </w:tc>
        <w:tc>
          <w:tcPr>
            <w:tcW w:w="717" w:type="dxa"/>
            <w:shd w:val="clear" w:color="auto" w:fill="auto"/>
            <w:noWrap/>
            <w:tcMar>
              <w:top w:w="10" w:type="dxa"/>
              <w:left w:w="10" w:type="dxa"/>
              <w:bottom w:w="0" w:type="dxa"/>
              <w:right w:w="10" w:type="dxa"/>
            </w:tcMar>
            <w:vAlign w:val="bottom"/>
            <w:hideMark/>
          </w:tcPr>
          <w:p w:rsidR="006B444D" w:rsidRPr="00F06876" w:rsidRDefault="006B444D" w:rsidP="00B91A3B">
            <w:pPr>
              <w:pStyle w:val="Gridtextheads"/>
            </w:pPr>
            <w:r w:rsidRPr="00F06876">
              <w:t>Adapted</w:t>
            </w:r>
          </w:p>
        </w:tc>
        <w:tc>
          <w:tcPr>
            <w:tcW w:w="1252" w:type="dxa"/>
            <w:shd w:val="clear" w:color="auto" w:fill="auto"/>
            <w:noWrap/>
            <w:tcMar>
              <w:top w:w="10" w:type="dxa"/>
              <w:left w:w="10" w:type="dxa"/>
              <w:bottom w:w="0" w:type="dxa"/>
              <w:right w:w="10" w:type="dxa"/>
            </w:tcMar>
            <w:vAlign w:val="bottom"/>
            <w:hideMark/>
          </w:tcPr>
          <w:p w:rsidR="006B444D" w:rsidRPr="00F06876" w:rsidRDefault="006B444D" w:rsidP="00B91A3B">
            <w:pPr>
              <w:pStyle w:val="Gridtextheads"/>
            </w:pPr>
            <w:r w:rsidRPr="00F06876">
              <w:t>Difficulty</w:t>
            </w:r>
          </w:p>
        </w:tc>
        <w:tc>
          <w:tcPr>
            <w:tcW w:w="431" w:type="dxa"/>
            <w:shd w:val="clear" w:color="auto" w:fill="auto"/>
            <w:noWrap/>
            <w:tcMar>
              <w:top w:w="10" w:type="dxa"/>
              <w:left w:w="10" w:type="dxa"/>
              <w:bottom w:w="0" w:type="dxa"/>
              <w:right w:w="10" w:type="dxa"/>
            </w:tcMar>
            <w:vAlign w:val="bottom"/>
            <w:hideMark/>
          </w:tcPr>
          <w:p w:rsidR="006B444D" w:rsidRPr="00F06876" w:rsidRDefault="006B444D" w:rsidP="00A415D1">
            <w:pPr>
              <w:pStyle w:val="Gridtextheads"/>
            </w:pPr>
            <w:r w:rsidRPr="00F06876">
              <w:t>Time</w:t>
            </w:r>
            <w:r>
              <w:br/>
            </w:r>
            <w:r w:rsidRPr="00F06876">
              <w:t>Est</w:t>
            </w:r>
            <w:r>
              <w:t>.</w:t>
            </w:r>
          </w:p>
        </w:tc>
        <w:tc>
          <w:tcPr>
            <w:tcW w:w="1288" w:type="dxa"/>
            <w:shd w:val="clear" w:color="auto" w:fill="auto"/>
            <w:noWrap/>
            <w:tcMar>
              <w:top w:w="10" w:type="dxa"/>
              <w:left w:w="10" w:type="dxa"/>
              <w:bottom w:w="0" w:type="dxa"/>
              <w:right w:w="10" w:type="dxa"/>
            </w:tcMar>
            <w:vAlign w:val="bottom"/>
            <w:hideMark/>
          </w:tcPr>
          <w:p w:rsidR="006B444D" w:rsidRPr="00F06876" w:rsidRDefault="006B444D" w:rsidP="00B91A3B">
            <w:pPr>
              <w:pStyle w:val="Gridtextheads"/>
            </w:pPr>
            <w:r w:rsidRPr="00F06876">
              <w:t>AACSB</w:t>
            </w:r>
          </w:p>
        </w:tc>
        <w:tc>
          <w:tcPr>
            <w:tcW w:w="1432" w:type="dxa"/>
            <w:shd w:val="clear" w:color="auto" w:fill="auto"/>
            <w:noWrap/>
            <w:tcMar>
              <w:top w:w="10" w:type="dxa"/>
              <w:left w:w="10" w:type="dxa"/>
              <w:bottom w:w="0" w:type="dxa"/>
              <w:right w:w="10" w:type="dxa"/>
            </w:tcMar>
            <w:vAlign w:val="bottom"/>
            <w:hideMark/>
          </w:tcPr>
          <w:p w:rsidR="006B444D" w:rsidRPr="00F06876" w:rsidRDefault="006B444D" w:rsidP="00B91A3B">
            <w:pPr>
              <w:pStyle w:val="Gridtextheads"/>
            </w:pPr>
            <w:r w:rsidRPr="00F06876">
              <w:t>AICPA</w:t>
            </w:r>
          </w:p>
        </w:tc>
        <w:tc>
          <w:tcPr>
            <w:tcW w:w="1575" w:type="dxa"/>
            <w:shd w:val="clear" w:color="auto" w:fill="auto"/>
            <w:noWrap/>
            <w:tcMar>
              <w:top w:w="10" w:type="dxa"/>
              <w:left w:w="10" w:type="dxa"/>
              <w:bottom w:w="0" w:type="dxa"/>
              <w:right w:w="10" w:type="dxa"/>
            </w:tcMar>
            <w:vAlign w:val="bottom"/>
            <w:hideMark/>
          </w:tcPr>
          <w:p w:rsidR="006B444D" w:rsidRPr="00F06876" w:rsidRDefault="006B444D" w:rsidP="00B91A3B">
            <w:pPr>
              <w:pStyle w:val="Gridtextheads"/>
            </w:pPr>
            <w:r w:rsidRPr="00F06876">
              <w:t>Bloom’s</w:t>
            </w:r>
          </w:p>
        </w:tc>
      </w:tr>
      <w:tr w:rsidR="006B444D" w:rsidRPr="000B4B45" w:rsidTr="009571F6">
        <w:trPr>
          <w:trHeight w:val="300"/>
        </w:trPr>
        <w:tc>
          <w:tcPr>
            <w:tcW w:w="825"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1</w:t>
            </w:r>
            <w:r>
              <w:t>-1</w:t>
            </w:r>
            <w:r>
              <w:br/>
            </w:r>
          </w:p>
        </w:tc>
        <w:tc>
          <w:tcPr>
            <w:tcW w:w="2146" w:type="dxa"/>
            <w:shd w:val="clear" w:color="auto" w:fill="auto"/>
            <w:tcMar>
              <w:top w:w="10" w:type="dxa"/>
              <w:left w:w="10" w:type="dxa"/>
              <w:bottom w:w="0" w:type="dxa"/>
              <w:right w:w="10" w:type="dxa"/>
            </w:tcMar>
            <w:vAlign w:val="bottom"/>
            <w:hideMark/>
          </w:tcPr>
          <w:p w:rsidR="006B444D" w:rsidRPr="000B4B45" w:rsidRDefault="00B91A3B" w:rsidP="00B91A3B">
            <w:pPr>
              <w:pStyle w:val="Gridtext"/>
            </w:pPr>
            <w:r>
              <w:rPr>
                <w:color w:val="000000"/>
              </w:rPr>
              <w:t>Role of Financial Reporting</w:t>
            </w:r>
          </w:p>
        </w:tc>
        <w:tc>
          <w:tcPr>
            <w:tcW w:w="2862" w:type="dxa"/>
            <w:shd w:val="clear" w:color="auto" w:fill="auto"/>
            <w:tcMar>
              <w:top w:w="10" w:type="dxa"/>
              <w:left w:w="10" w:type="dxa"/>
              <w:bottom w:w="0" w:type="dxa"/>
              <w:right w:w="10" w:type="dxa"/>
            </w:tcMar>
            <w:vAlign w:val="bottom"/>
            <w:hideMark/>
          </w:tcPr>
          <w:p w:rsidR="006B444D" w:rsidRPr="000B4B45" w:rsidRDefault="00B91A3B" w:rsidP="00B91A3B">
            <w:pPr>
              <w:pStyle w:val="Gridtext"/>
            </w:pPr>
            <w:r>
              <w:rPr>
                <w:color w:val="000000"/>
              </w:rPr>
              <w:t>Financial accounting; financial reporting</w:t>
            </w:r>
          </w:p>
        </w:tc>
        <w:tc>
          <w:tcPr>
            <w:tcW w:w="288" w:type="dxa"/>
            <w:shd w:val="clear" w:color="auto" w:fill="auto"/>
            <w:tcMar>
              <w:top w:w="10" w:type="dxa"/>
              <w:left w:w="10" w:type="dxa"/>
              <w:bottom w:w="0" w:type="dxa"/>
              <w:right w:w="10" w:type="dxa"/>
            </w:tcMar>
            <w:vAlign w:val="bottom"/>
            <w:hideMark/>
          </w:tcPr>
          <w:p w:rsidR="006B444D" w:rsidRPr="000B4B45" w:rsidRDefault="006B444D" w:rsidP="00A415D1">
            <w:pPr>
              <w:pStyle w:val="Gridtext"/>
              <w:jc w:val="center"/>
            </w:pPr>
            <w:r w:rsidRPr="000B4B45">
              <w:t>1</w:t>
            </w:r>
            <w:r>
              <w:br/>
            </w:r>
          </w:p>
        </w:tc>
        <w:tc>
          <w:tcPr>
            <w:tcW w:w="717" w:type="dxa"/>
            <w:shd w:val="clear" w:color="auto" w:fill="auto"/>
            <w:noWrap/>
            <w:tcMar>
              <w:top w:w="10" w:type="dxa"/>
              <w:left w:w="10" w:type="dxa"/>
              <w:bottom w:w="0" w:type="dxa"/>
              <w:right w:w="10" w:type="dxa"/>
            </w:tcMar>
            <w:vAlign w:val="bottom"/>
            <w:hideMark/>
          </w:tcPr>
          <w:p w:rsidR="006B444D" w:rsidRPr="00546972" w:rsidRDefault="006B444D" w:rsidP="00B91A3B">
            <w:pPr>
              <w:pStyle w:val="Gridtext"/>
            </w:pPr>
          </w:p>
        </w:tc>
        <w:tc>
          <w:tcPr>
            <w:tcW w:w="1252"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Easy</w:t>
            </w:r>
            <w:r>
              <w:br/>
            </w:r>
          </w:p>
        </w:tc>
        <w:tc>
          <w:tcPr>
            <w:tcW w:w="431" w:type="dxa"/>
            <w:shd w:val="clear" w:color="auto" w:fill="auto"/>
            <w:noWrap/>
            <w:tcMar>
              <w:top w:w="10" w:type="dxa"/>
              <w:left w:w="10" w:type="dxa"/>
              <w:bottom w:w="0" w:type="dxa"/>
              <w:right w:w="10" w:type="dxa"/>
            </w:tcMar>
            <w:vAlign w:val="bottom"/>
            <w:hideMark/>
          </w:tcPr>
          <w:p w:rsidR="006B444D" w:rsidRPr="000B4B45" w:rsidRDefault="006B444D" w:rsidP="00A415D1">
            <w:pPr>
              <w:pStyle w:val="Gridtext"/>
              <w:jc w:val="center"/>
            </w:pPr>
            <w:r w:rsidRPr="000B4B45">
              <w:t>5</w:t>
            </w:r>
            <w:r>
              <w:br/>
            </w:r>
          </w:p>
        </w:tc>
        <w:tc>
          <w:tcPr>
            <w:tcW w:w="1288" w:type="dxa"/>
            <w:shd w:val="clear" w:color="auto" w:fill="auto"/>
            <w:noWrap/>
            <w:tcMar>
              <w:top w:w="10" w:type="dxa"/>
              <w:left w:w="10" w:type="dxa"/>
              <w:bottom w:w="0" w:type="dxa"/>
              <w:right w:w="10" w:type="dxa"/>
            </w:tcMar>
            <w:vAlign w:val="bottom"/>
            <w:hideMark/>
          </w:tcPr>
          <w:p w:rsidR="006B444D" w:rsidRPr="00845944" w:rsidRDefault="006B444D" w:rsidP="00B91A3B">
            <w:pPr>
              <w:pStyle w:val="Gridtext"/>
            </w:pPr>
            <w:r w:rsidRPr="00845944">
              <w:t>Analytic</w:t>
            </w:r>
            <w:r>
              <w:br/>
            </w:r>
          </w:p>
        </w:tc>
        <w:tc>
          <w:tcPr>
            <w:tcW w:w="1432"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Measurement</w:t>
            </w:r>
            <w:r>
              <w:br/>
            </w:r>
          </w:p>
        </w:tc>
        <w:tc>
          <w:tcPr>
            <w:tcW w:w="1575"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Comprehension</w:t>
            </w:r>
            <w:r>
              <w:br/>
            </w:r>
          </w:p>
        </w:tc>
      </w:tr>
      <w:tr w:rsidR="006B444D" w:rsidRPr="000B4B45" w:rsidTr="009571F6">
        <w:trPr>
          <w:trHeight w:val="300"/>
        </w:trPr>
        <w:tc>
          <w:tcPr>
            <w:tcW w:w="825"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1</w:t>
            </w:r>
            <w:r>
              <w:t>-</w:t>
            </w:r>
            <w:r w:rsidRPr="000B4B45">
              <w:t>2</w:t>
            </w:r>
            <w:r w:rsidR="00D16938">
              <w:br/>
            </w:r>
          </w:p>
        </w:tc>
        <w:tc>
          <w:tcPr>
            <w:tcW w:w="2146" w:type="dxa"/>
            <w:shd w:val="clear" w:color="auto" w:fill="auto"/>
            <w:tcMar>
              <w:top w:w="10" w:type="dxa"/>
              <w:left w:w="10" w:type="dxa"/>
              <w:bottom w:w="0" w:type="dxa"/>
              <w:right w:w="10" w:type="dxa"/>
            </w:tcMar>
            <w:vAlign w:val="bottom"/>
            <w:hideMark/>
          </w:tcPr>
          <w:p w:rsidR="006B444D" w:rsidRPr="000B4B45" w:rsidRDefault="00B91A3B" w:rsidP="00B91A3B">
            <w:pPr>
              <w:pStyle w:val="Gridtext"/>
            </w:pPr>
            <w:r>
              <w:rPr>
                <w:color w:val="000000"/>
              </w:rPr>
              <w:t>Financial Reporting Stakeholders</w:t>
            </w:r>
          </w:p>
        </w:tc>
        <w:tc>
          <w:tcPr>
            <w:tcW w:w="2862" w:type="dxa"/>
            <w:shd w:val="clear" w:color="auto" w:fill="auto"/>
            <w:tcMar>
              <w:top w:w="10" w:type="dxa"/>
              <w:left w:w="10" w:type="dxa"/>
              <w:bottom w:w="0" w:type="dxa"/>
              <w:right w:w="10" w:type="dxa"/>
            </w:tcMar>
            <w:vAlign w:val="bottom"/>
            <w:hideMark/>
          </w:tcPr>
          <w:p w:rsidR="006B444D" w:rsidRPr="000B4B45" w:rsidRDefault="00B91A3B" w:rsidP="00B91A3B">
            <w:pPr>
              <w:pStyle w:val="Gridtext"/>
            </w:pPr>
            <w:r>
              <w:rPr>
                <w:color w:val="000000"/>
              </w:rPr>
              <w:t>Major categories of financial reporting stakeholders</w:t>
            </w:r>
          </w:p>
        </w:tc>
        <w:tc>
          <w:tcPr>
            <w:tcW w:w="288" w:type="dxa"/>
            <w:shd w:val="clear" w:color="auto" w:fill="auto"/>
            <w:tcMar>
              <w:top w:w="10" w:type="dxa"/>
              <w:left w:w="10" w:type="dxa"/>
              <w:bottom w:w="0" w:type="dxa"/>
              <w:right w:w="10" w:type="dxa"/>
            </w:tcMar>
            <w:vAlign w:val="bottom"/>
            <w:hideMark/>
          </w:tcPr>
          <w:p w:rsidR="00D16938" w:rsidRPr="000B4B45" w:rsidRDefault="00D16938" w:rsidP="00A415D1">
            <w:pPr>
              <w:pStyle w:val="Gridtext"/>
              <w:jc w:val="center"/>
            </w:pPr>
            <w:r>
              <w:t>1</w:t>
            </w:r>
            <w:r>
              <w:br/>
            </w:r>
          </w:p>
        </w:tc>
        <w:tc>
          <w:tcPr>
            <w:tcW w:w="717"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p>
        </w:tc>
        <w:tc>
          <w:tcPr>
            <w:tcW w:w="1252"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Easy</w:t>
            </w:r>
            <w:r w:rsidR="00D16938">
              <w:br/>
            </w:r>
          </w:p>
        </w:tc>
        <w:tc>
          <w:tcPr>
            <w:tcW w:w="431" w:type="dxa"/>
            <w:shd w:val="clear" w:color="auto" w:fill="auto"/>
            <w:noWrap/>
            <w:tcMar>
              <w:top w:w="10" w:type="dxa"/>
              <w:left w:w="10" w:type="dxa"/>
              <w:bottom w:w="0" w:type="dxa"/>
              <w:right w:w="10" w:type="dxa"/>
            </w:tcMar>
            <w:vAlign w:val="bottom"/>
            <w:hideMark/>
          </w:tcPr>
          <w:p w:rsidR="006B444D" w:rsidRPr="000B4B45" w:rsidRDefault="006B444D" w:rsidP="00A415D1">
            <w:pPr>
              <w:pStyle w:val="Gridtext"/>
              <w:jc w:val="center"/>
            </w:pPr>
            <w:r w:rsidRPr="000B4B45">
              <w:t>5</w:t>
            </w:r>
            <w:r w:rsidR="00D16938">
              <w:br/>
            </w:r>
          </w:p>
        </w:tc>
        <w:tc>
          <w:tcPr>
            <w:tcW w:w="1288"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Analytic</w:t>
            </w:r>
            <w:r w:rsidR="00D16938">
              <w:br/>
            </w:r>
          </w:p>
        </w:tc>
        <w:tc>
          <w:tcPr>
            <w:tcW w:w="1432"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Measurement</w:t>
            </w:r>
            <w:r w:rsidR="00D16938">
              <w:br/>
            </w:r>
          </w:p>
        </w:tc>
        <w:tc>
          <w:tcPr>
            <w:tcW w:w="1575" w:type="dxa"/>
            <w:shd w:val="clear" w:color="auto" w:fill="auto"/>
            <w:noWrap/>
            <w:tcMar>
              <w:top w:w="10" w:type="dxa"/>
              <w:left w:w="10" w:type="dxa"/>
              <w:bottom w:w="0" w:type="dxa"/>
              <w:right w:w="10" w:type="dxa"/>
            </w:tcMar>
            <w:vAlign w:val="bottom"/>
            <w:hideMark/>
          </w:tcPr>
          <w:p w:rsidR="006B444D" w:rsidRPr="000B4B45" w:rsidRDefault="00D16938" w:rsidP="00B91A3B">
            <w:pPr>
              <w:pStyle w:val="Gridtext"/>
            </w:pPr>
            <w:r>
              <w:rPr>
                <w:color w:val="000000"/>
              </w:rPr>
              <w:t>Comprehension</w:t>
            </w:r>
            <w:r>
              <w:rPr>
                <w:color w:val="000000"/>
              </w:rPr>
              <w:br/>
            </w:r>
          </w:p>
        </w:tc>
      </w:tr>
      <w:tr w:rsidR="006B444D" w:rsidRPr="000B4B45" w:rsidTr="009571F6">
        <w:trPr>
          <w:trHeight w:val="300"/>
        </w:trPr>
        <w:tc>
          <w:tcPr>
            <w:tcW w:w="825"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1</w:t>
            </w:r>
            <w:r w:rsidR="00B91A3B">
              <w:t>-</w:t>
            </w:r>
            <w:r w:rsidRPr="000B4B45">
              <w:t>3</w:t>
            </w:r>
            <w:r w:rsidR="00340212">
              <w:br/>
            </w:r>
          </w:p>
        </w:tc>
        <w:tc>
          <w:tcPr>
            <w:tcW w:w="2146" w:type="dxa"/>
            <w:shd w:val="clear" w:color="auto" w:fill="auto"/>
            <w:tcMar>
              <w:top w:w="10" w:type="dxa"/>
              <w:left w:w="10" w:type="dxa"/>
              <w:bottom w:w="0" w:type="dxa"/>
              <w:right w:w="10" w:type="dxa"/>
            </w:tcMar>
            <w:vAlign w:val="bottom"/>
            <w:hideMark/>
          </w:tcPr>
          <w:p w:rsidR="006B444D" w:rsidRPr="000B4B45" w:rsidRDefault="00B91A3B" w:rsidP="00B91A3B">
            <w:pPr>
              <w:pStyle w:val="Gridtext"/>
            </w:pPr>
            <w:r>
              <w:rPr>
                <w:color w:val="000000"/>
              </w:rPr>
              <w:t>Financial Reporting Stakeholders</w:t>
            </w:r>
          </w:p>
        </w:tc>
        <w:tc>
          <w:tcPr>
            <w:tcW w:w="2862" w:type="dxa"/>
            <w:shd w:val="clear" w:color="auto" w:fill="auto"/>
            <w:tcMar>
              <w:top w:w="10" w:type="dxa"/>
              <w:left w:w="10" w:type="dxa"/>
              <w:bottom w:w="0" w:type="dxa"/>
              <w:right w:w="10" w:type="dxa"/>
            </w:tcMar>
            <w:vAlign w:val="bottom"/>
            <w:hideMark/>
          </w:tcPr>
          <w:p w:rsidR="006B444D" w:rsidRPr="000B4B45" w:rsidRDefault="00B91A3B" w:rsidP="00B91A3B">
            <w:pPr>
              <w:pStyle w:val="Gridtext"/>
            </w:pPr>
            <w:r>
              <w:rPr>
                <w:color w:val="000000"/>
              </w:rPr>
              <w:t>Different information needs of investors and creditors</w:t>
            </w:r>
          </w:p>
        </w:tc>
        <w:tc>
          <w:tcPr>
            <w:tcW w:w="288" w:type="dxa"/>
            <w:shd w:val="clear" w:color="auto" w:fill="auto"/>
            <w:tcMar>
              <w:top w:w="10" w:type="dxa"/>
              <w:left w:w="10" w:type="dxa"/>
              <w:bottom w:w="0" w:type="dxa"/>
              <w:right w:w="10" w:type="dxa"/>
            </w:tcMar>
            <w:vAlign w:val="bottom"/>
            <w:hideMark/>
          </w:tcPr>
          <w:p w:rsidR="006B444D" w:rsidRPr="000B4B45" w:rsidRDefault="00D16938" w:rsidP="00A415D1">
            <w:pPr>
              <w:pStyle w:val="Gridtext"/>
              <w:jc w:val="center"/>
            </w:pPr>
            <w:r>
              <w:rPr>
                <w:color w:val="000000"/>
              </w:rPr>
              <w:t>1</w:t>
            </w:r>
            <w:r>
              <w:rPr>
                <w:color w:val="000000"/>
              </w:rPr>
              <w:br/>
            </w:r>
          </w:p>
        </w:tc>
        <w:tc>
          <w:tcPr>
            <w:tcW w:w="717"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p>
        </w:tc>
        <w:tc>
          <w:tcPr>
            <w:tcW w:w="1252"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Easy</w:t>
            </w:r>
            <w:r w:rsidR="00340212">
              <w:br/>
            </w:r>
          </w:p>
        </w:tc>
        <w:tc>
          <w:tcPr>
            <w:tcW w:w="431" w:type="dxa"/>
            <w:shd w:val="clear" w:color="auto" w:fill="auto"/>
            <w:noWrap/>
            <w:tcMar>
              <w:top w:w="10" w:type="dxa"/>
              <w:left w:w="10" w:type="dxa"/>
              <w:bottom w:w="0" w:type="dxa"/>
              <w:right w:w="10" w:type="dxa"/>
            </w:tcMar>
            <w:vAlign w:val="bottom"/>
            <w:hideMark/>
          </w:tcPr>
          <w:p w:rsidR="006B444D" w:rsidRPr="000B4B45" w:rsidRDefault="006B444D" w:rsidP="00A415D1">
            <w:pPr>
              <w:pStyle w:val="Gridtext"/>
              <w:jc w:val="center"/>
            </w:pPr>
            <w:r w:rsidRPr="000B4B45">
              <w:t>5</w:t>
            </w:r>
            <w:r w:rsidR="00340212">
              <w:br/>
            </w:r>
          </w:p>
        </w:tc>
        <w:tc>
          <w:tcPr>
            <w:tcW w:w="1288"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Analytic</w:t>
            </w:r>
            <w:r w:rsidR="00340212">
              <w:br/>
            </w:r>
          </w:p>
        </w:tc>
        <w:tc>
          <w:tcPr>
            <w:tcW w:w="1432"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Measurement</w:t>
            </w:r>
            <w:r w:rsidR="00340212">
              <w:br/>
            </w:r>
          </w:p>
        </w:tc>
        <w:tc>
          <w:tcPr>
            <w:tcW w:w="1575" w:type="dxa"/>
            <w:shd w:val="clear" w:color="auto" w:fill="auto"/>
            <w:noWrap/>
            <w:tcMar>
              <w:top w:w="10" w:type="dxa"/>
              <w:left w:w="10" w:type="dxa"/>
              <w:bottom w:w="0" w:type="dxa"/>
              <w:right w:w="10" w:type="dxa"/>
            </w:tcMar>
            <w:vAlign w:val="bottom"/>
            <w:hideMark/>
          </w:tcPr>
          <w:p w:rsidR="006B444D" w:rsidRPr="000B4B45" w:rsidRDefault="00D16938" w:rsidP="00B91A3B">
            <w:pPr>
              <w:pStyle w:val="Gridtext"/>
            </w:pPr>
            <w:r>
              <w:rPr>
                <w:color w:val="000000"/>
              </w:rPr>
              <w:t>Application</w:t>
            </w:r>
            <w:r w:rsidR="00340212">
              <w:rPr>
                <w:color w:val="000000"/>
              </w:rPr>
              <w:br/>
            </w:r>
          </w:p>
        </w:tc>
      </w:tr>
      <w:tr w:rsidR="006B444D" w:rsidRPr="000B4B45" w:rsidTr="009571F6">
        <w:trPr>
          <w:trHeight w:val="300"/>
        </w:trPr>
        <w:tc>
          <w:tcPr>
            <w:tcW w:w="825"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1</w:t>
            </w:r>
            <w:r>
              <w:t>-</w:t>
            </w:r>
            <w:r w:rsidRPr="000B4B45">
              <w:t>4</w:t>
            </w:r>
            <w:r w:rsidR="00D16938">
              <w:br/>
            </w:r>
            <w:r>
              <w:br/>
            </w:r>
          </w:p>
        </w:tc>
        <w:tc>
          <w:tcPr>
            <w:tcW w:w="2146" w:type="dxa"/>
            <w:shd w:val="clear" w:color="auto" w:fill="auto"/>
            <w:tcMar>
              <w:top w:w="10" w:type="dxa"/>
              <w:left w:w="10" w:type="dxa"/>
              <w:bottom w:w="0" w:type="dxa"/>
              <w:right w:w="10" w:type="dxa"/>
            </w:tcMar>
            <w:vAlign w:val="bottom"/>
            <w:hideMark/>
          </w:tcPr>
          <w:p w:rsidR="006B444D" w:rsidRPr="000B4B45" w:rsidRDefault="009571F6" w:rsidP="00B91A3B">
            <w:pPr>
              <w:pStyle w:val="Gridtext"/>
            </w:pPr>
            <w:r>
              <w:rPr>
                <w:color w:val="000000"/>
              </w:rPr>
              <w:t>Information Asymmetry</w:t>
            </w:r>
            <w:r w:rsidR="00340212">
              <w:rPr>
                <w:color w:val="000000"/>
              </w:rPr>
              <w:br/>
            </w:r>
          </w:p>
        </w:tc>
        <w:tc>
          <w:tcPr>
            <w:tcW w:w="2862" w:type="dxa"/>
            <w:shd w:val="clear" w:color="auto" w:fill="auto"/>
            <w:tcMar>
              <w:top w:w="10" w:type="dxa"/>
              <w:left w:w="10" w:type="dxa"/>
              <w:bottom w:w="0" w:type="dxa"/>
              <w:right w:w="10" w:type="dxa"/>
            </w:tcMar>
            <w:vAlign w:val="bottom"/>
            <w:hideMark/>
          </w:tcPr>
          <w:p w:rsidR="006B444D" w:rsidRPr="000B4B45" w:rsidRDefault="00B91A3B" w:rsidP="00B91A3B">
            <w:pPr>
              <w:pStyle w:val="Gridtext"/>
            </w:pPr>
            <w:r>
              <w:rPr>
                <w:color w:val="000000"/>
              </w:rPr>
              <w:t>Information asymmetry between financial reporting preparers and users</w:t>
            </w:r>
          </w:p>
        </w:tc>
        <w:tc>
          <w:tcPr>
            <w:tcW w:w="288" w:type="dxa"/>
            <w:shd w:val="clear" w:color="auto" w:fill="auto"/>
            <w:tcMar>
              <w:top w:w="10" w:type="dxa"/>
              <w:left w:w="10" w:type="dxa"/>
              <w:bottom w:w="0" w:type="dxa"/>
              <w:right w:w="10" w:type="dxa"/>
            </w:tcMar>
            <w:vAlign w:val="bottom"/>
            <w:hideMark/>
          </w:tcPr>
          <w:p w:rsidR="006B444D" w:rsidRPr="000B4B45" w:rsidRDefault="00D16938" w:rsidP="00A415D1">
            <w:pPr>
              <w:pStyle w:val="Gridtext"/>
              <w:jc w:val="center"/>
            </w:pPr>
            <w:r>
              <w:rPr>
                <w:color w:val="000000"/>
              </w:rPr>
              <w:t>1</w:t>
            </w:r>
            <w:r>
              <w:rPr>
                <w:color w:val="000000"/>
              </w:rPr>
              <w:br/>
            </w:r>
            <w:r>
              <w:rPr>
                <w:color w:val="000000"/>
              </w:rPr>
              <w:br/>
            </w:r>
          </w:p>
        </w:tc>
        <w:tc>
          <w:tcPr>
            <w:tcW w:w="717"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p>
        </w:tc>
        <w:tc>
          <w:tcPr>
            <w:tcW w:w="1252"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Easy</w:t>
            </w:r>
            <w:r>
              <w:br/>
            </w:r>
            <w:r w:rsidR="00D16938">
              <w:br/>
            </w:r>
          </w:p>
        </w:tc>
        <w:tc>
          <w:tcPr>
            <w:tcW w:w="431" w:type="dxa"/>
            <w:shd w:val="clear" w:color="auto" w:fill="auto"/>
            <w:noWrap/>
            <w:tcMar>
              <w:top w:w="10" w:type="dxa"/>
              <w:left w:w="10" w:type="dxa"/>
              <w:bottom w:w="0" w:type="dxa"/>
              <w:right w:w="10" w:type="dxa"/>
            </w:tcMar>
            <w:vAlign w:val="bottom"/>
            <w:hideMark/>
          </w:tcPr>
          <w:p w:rsidR="006B444D" w:rsidRPr="000B4B45" w:rsidRDefault="006B444D" w:rsidP="00A415D1">
            <w:pPr>
              <w:pStyle w:val="Gridtext"/>
              <w:jc w:val="center"/>
            </w:pPr>
            <w:r w:rsidRPr="000B4B45">
              <w:t>5</w:t>
            </w:r>
            <w:r>
              <w:br/>
            </w:r>
            <w:r w:rsidR="00D16938">
              <w:br/>
            </w:r>
          </w:p>
        </w:tc>
        <w:tc>
          <w:tcPr>
            <w:tcW w:w="1288"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Analytic</w:t>
            </w:r>
            <w:r>
              <w:br/>
            </w:r>
            <w:r w:rsidR="00D16938">
              <w:br/>
            </w:r>
          </w:p>
        </w:tc>
        <w:tc>
          <w:tcPr>
            <w:tcW w:w="1432"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Measurement</w:t>
            </w:r>
            <w:r>
              <w:br/>
            </w:r>
            <w:r w:rsidR="00D16938">
              <w:br/>
            </w:r>
          </w:p>
        </w:tc>
        <w:tc>
          <w:tcPr>
            <w:tcW w:w="1575" w:type="dxa"/>
            <w:shd w:val="clear" w:color="auto" w:fill="auto"/>
            <w:noWrap/>
            <w:tcMar>
              <w:top w:w="10" w:type="dxa"/>
              <w:left w:w="10" w:type="dxa"/>
              <w:bottom w:w="0" w:type="dxa"/>
              <w:right w:w="10" w:type="dxa"/>
            </w:tcMar>
            <w:vAlign w:val="bottom"/>
            <w:hideMark/>
          </w:tcPr>
          <w:p w:rsidR="006B444D" w:rsidRPr="000B4B45" w:rsidRDefault="00D16938" w:rsidP="00B91A3B">
            <w:pPr>
              <w:pStyle w:val="Gridtext"/>
            </w:pPr>
            <w:r>
              <w:rPr>
                <w:color w:val="000000"/>
              </w:rPr>
              <w:t>Comprehension</w:t>
            </w:r>
            <w:r w:rsidR="006B444D">
              <w:br/>
            </w:r>
            <w:r>
              <w:br/>
            </w:r>
          </w:p>
        </w:tc>
      </w:tr>
      <w:tr w:rsidR="006B444D" w:rsidRPr="000B4B45" w:rsidTr="009571F6">
        <w:trPr>
          <w:trHeight w:val="300"/>
        </w:trPr>
        <w:tc>
          <w:tcPr>
            <w:tcW w:w="825"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1</w:t>
            </w:r>
            <w:r>
              <w:t>-</w:t>
            </w:r>
            <w:r w:rsidRPr="000B4B45">
              <w:t>5</w:t>
            </w:r>
            <w:r>
              <w:br/>
            </w:r>
          </w:p>
        </w:tc>
        <w:tc>
          <w:tcPr>
            <w:tcW w:w="2146" w:type="dxa"/>
            <w:shd w:val="clear" w:color="auto" w:fill="auto"/>
            <w:tcMar>
              <w:top w:w="10" w:type="dxa"/>
              <w:left w:w="10" w:type="dxa"/>
              <w:bottom w:w="0" w:type="dxa"/>
              <w:right w:w="10" w:type="dxa"/>
            </w:tcMar>
            <w:vAlign w:val="bottom"/>
            <w:hideMark/>
          </w:tcPr>
          <w:p w:rsidR="006B444D" w:rsidRPr="000B4B45" w:rsidRDefault="009571F6" w:rsidP="00B91A3B">
            <w:pPr>
              <w:pStyle w:val="Gridtext"/>
            </w:pPr>
            <w:r>
              <w:rPr>
                <w:color w:val="000000"/>
              </w:rPr>
              <w:t>Financial reporting information</w:t>
            </w:r>
          </w:p>
        </w:tc>
        <w:tc>
          <w:tcPr>
            <w:tcW w:w="2862" w:type="dxa"/>
            <w:shd w:val="clear" w:color="auto" w:fill="auto"/>
            <w:tcMar>
              <w:top w:w="10" w:type="dxa"/>
              <w:left w:w="10" w:type="dxa"/>
              <w:bottom w:w="0" w:type="dxa"/>
              <w:right w:w="10" w:type="dxa"/>
            </w:tcMar>
            <w:vAlign w:val="bottom"/>
            <w:hideMark/>
          </w:tcPr>
          <w:p w:rsidR="006B444D" w:rsidRPr="000B4B45" w:rsidRDefault="00AE6A64" w:rsidP="00110B91">
            <w:pPr>
              <w:pStyle w:val="Gridtext"/>
            </w:pPr>
            <w:r>
              <w:rPr>
                <w:color w:val="000000"/>
              </w:rPr>
              <w:t>Demand for financial reporting information</w:t>
            </w:r>
          </w:p>
        </w:tc>
        <w:tc>
          <w:tcPr>
            <w:tcW w:w="288" w:type="dxa"/>
            <w:shd w:val="clear" w:color="auto" w:fill="auto"/>
            <w:tcMar>
              <w:top w:w="10" w:type="dxa"/>
              <w:left w:w="10" w:type="dxa"/>
              <w:bottom w:w="0" w:type="dxa"/>
              <w:right w:w="10" w:type="dxa"/>
            </w:tcMar>
            <w:vAlign w:val="bottom"/>
            <w:hideMark/>
          </w:tcPr>
          <w:p w:rsidR="006B444D" w:rsidRPr="000B4B45" w:rsidRDefault="00D16938" w:rsidP="00A415D1">
            <w:pPr>
              <w:pStyle w:val="Gridtext"/>
              <w:jc w:val="center"/>
            </w:pPr>
            <w:r>
              <w:rPr>
                <w:color w:val="000000"/>
              </w:rPr>
              <w:t>1</w:t>
            </w:r>
            <w:r>
              <w:rPr>
                <w:color w:val="000000"/>
              </w:rPr>
              <w:br/>
            </w:r>
          </w:p>
        </w:tc>
        <w:tc>
          <w:tcPr>
            <w:tcW w:w="717"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p>
        </w:tc>
        <w:tc>
          <w:tcPr>
            <w:tcW w:w="1252"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Easy</w:t>
            </w:r>
            <w:r>
              <w:br/>
            </w:r>
          </w:p>
        </w:tc>
        <w:tc>
          <w:tcPr>
            <w:tcW w:w="431" w:type="dxa"/>
            <w:shd w:val="clear" w:color="auto" w:fill="auto"/>
            <w:noWrap/>
            <w:tcMar>
              <w:top w:w="10" w:type="dxa"/>
              <w:left w:w="10" w:type="dxa"/>
              <w:bottom w:w="0" w:type="dxa"/>
              <w:right w:w="10" w:type="dxa"/>
            </w:tcMar>
            <w:vAlign w:val="bottom"/>
            <w:hideMark/>
          </w:tcPr>
          <w:p w:rsidR="006B444D" w:rsidRPr="000B4B45" w:rsidRDefault="006B444D" w:rsidP="00A415D1">
            <w:pPr>
              <w:pStyle w:val="Gridtext"/>
              <w:jc w:val="center"/>
            </w:pPr>
            <w:r w:rsidRPr="000B4B45">
              <w:t>5</w:t>
            </w:r>
            <w:r>
              <w:br/>
            </w:r>
          </w:p>
        </w:tc>
        <w:tc>
          <w:tcPr>
            <w:tcW w:w="1288"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Analytic</w:t>
            </w:r>
            <w:r>
              <w:br/>
            </w:r>
          </w:p>
        </w:tc>
        <w:tc>
          <w:tcPr>
            <w:tcW w:w="1432" w:type="dxa"/>
            <w:shd w:val="clear" w:color="auto" w:fill="auto"/>
            <w:noWrap/>
            <w:tcMar>
              <w:top w:w="10" w:type="dxa"/>
              <w:left w:w="10" w:type="dxa"/>
              <w:bottom w:w="0" w:type="dxa"/>
              <w:right w:w="10" w:type="dxa"/>
            </w:tcMar>
            <w:vAlign w:val="bottom"/>
            <w:hideMark/>
          </w:tcPr>
          <w:p w:rsidR="006B444D" w:rsidRPr="000B4B45" w:rsidRDefault="006B444D" w:rsidP="00B91A3B">
            <w:pPr>
              <w:pStyle w:val="Gridtext"/>
            </w:pPr>
            <w:r w:rsidRPr="000B4B45">
              <w:t>Measurement</w:t>
            </w:r>
            <w:r>
              <w:br/>
            </w:r>
          </w:p>
        </w:tc>
        <w:tc>
          <w:tcPr>
            <w:tcW w:w="1575" w:type="dxa"/>
            <w:shd w:val="clear" w:color="auto" w:fill="auto"/>
            <w:noWrap/>
            <w:tcMar>
              <w:top w:w="10" w:type="dxa"/>
              <w:left w:w="10" w:type="dxa"/>
              <w:bottom w:w="0" w:type="dxa"/>
              <w:right w:w="10" w:type="dxa"/>
            </w:tcMar>
            <w:vAlign w:val="bottom"/>
            <w:hideMark/>
          </w:tcPr>
          <w:p w:rsidR="006B444D" w:rsidRPr="000B4B45" w:rsidRDefault="00D16938" w:rsidP="00B91A3B">
            <w:pPr>
              <w:pStyle w:val="Gridtext"/>
            </w:pPr>
            <w:r>
              <w:rPr>
                <w:color w:val="000000"/>
              </w:rPr>
              <w:t>Application</w:t>
            </w:r>
            <w:r w:rsidR="006B444D">
              <w:br/>
            </w:r>
          </w:p>
        </w:tc>
      </w:tr>
      <w:tr w:rsidR="00110B91" w:rsidRPr="000B4B45" w:rsidTr="009571F6">
        <w:trPr>
          <w:trHeight w:val="300"/>
        </w:trPr>
        <w:tc>
          <w:tcPr>
            <w:tcW w:w="825" w:type="dxa"/>
            <w:shd w:val="clear" w:color="auto" w:fill="auto"/>
            <w:noWrap/>
            <w:tcMar>
              <w:top w:w="10" w:type="dxa"/>
              <w:left w:w="10" w:type="dxa"/>
              <w:bottom w:w="0" w:type="dxa"/>
              <w:right w:w="10" w:type="dxa"/>
            </w:tcMar>
            <w:vAlign w:val="bottom"/>
            <w:hideMark/>
          </w:tcPr>
          <w:p w:rsidR="00110B91" w:rsidRPr="000B4B45" w:rsidRDefault="00110B91" w:rsidP="00110B91">
            <w:pPr>
              <w:pStyle w:val="Gridtext"/>
            </w:pPr>
            <w:r w:rsidRPr="000B4B45">
              <w:t>1</w:t>
            </w:r>
            <w:r>
              <w:t>-6</w:t>
            </w:r>
            <w:r w:rsidR="00BC3865">
              <w:br/>
            </w:r>
            <w:r w:rsidR="00BC3865">
              <w:br/>
            </w:r>
          </w:p>
        </w:tc>
        <w:tc>
          <w:tcPr>
            <w:tcW w:w="2146" w:type="dxa"/>
            <w:shd w:val="clear" w:color="auto" w:fill="auto"/>
            <w:tcMar>
              <w:top w:w="10" w:type="dxa"/>
              <w:left w:w="10" w:type="dxa"/>
              <w:bottom w:w="0" w:type="dxa"/>
              <w:right w:w="10" w:type="dxa"/>
            </w:tcMar>
            <w:vAlign w:val="bottom"/>
            <w:hideMark/>
          </w:tcPr>
          <w:p w:rsidR="00110B91" w:rsidRDefault="00110B91" w:rsidP="00115A65">
            <w:pPr>
              <w:pStyle w:val="Gridtext"/>
              <w:rPr>
                <w:color w:val="000000"/>
              </w:rPr>
            </w:pPr>
            <w:r>
              <w:rPr>
                <w:color w:val="000000"/>
              </w:rPr>
              <w:t xml:space="preserve">Accounting Standards and </w:t>
            </w:r>
            <w:r w:rsidR="00115A65">
              <w:rPr>
                <w:color w:val="000000"/>
              </w:rPr>
              <w:br/>
            </w:r>
            <w:r>
              <w:rPr>
                <w:color w:val="000000"/>
              </w:rPr>
              <w:t>Audits</w:t>
            </w:r>
          </w:p>
        </w:tc>
        <w:tc>
          <w:tcPr>
            <w:tcW w:w="2862" w:type="dxa"/>
            <w:shd w:val="clear" w:color="auto" w:fill="auto"/>
            <w:tcMar>
              <w:top w:w="10" w:type="dxa"/>
              <w:left w:w="10" w:type="dxa"/>
              <w:bottom w:w="0" w:type="dxa"/>
              <w:right w:w="10" w:type="dxa"/>
            </w:tcMar>
            <w:vAlign w:val="bottom"/>
            <w:hideMark/>
          </w:tcPr>
          <w:p w:rsidR="00110B91" w:rsidRDefault="00110B91" w:rsidP="00110B91">
            <w:pPr>
              <w:pStyle w:val="Gridtext"/>
              <w:rPr>
                <w:color w:val="000000"/>
              </w:rPr>
            </w:pPr>
            <w:r>
              <w:rPr>
                <w:color w:val="000000"/>
              </w:rPr>
              <w:t>Demand for accounting standards and audit verification</w:t>
            </w:r>
          </w:p>
        </w:tc>
        <w:tc>
          <w:tcPr>
            <w:tcW w:w="288" w:type="dxa"/>
            <w:shd w:val="clear" w:color="auto" w:fill="auto"/>
            <w:tcMar>
              <w:top w:w="10" w:type="dxa"/>
              <w:left w:w="10" w:type="dxa"/>
              <w:bottom w:w="0" w:type="dxa"/>
              <w:right w:w="10" w:type="dxa"/>
            </w:tcMar>
            <w:vAlign w:val="bottom"/>
            <w:hideMark/>
          </w:tcPr>
          <w:p w:rsidR="00110B91" w:rsidRDefault="00BC3865" w:rsidP="00A415D1">
            <w:pPr>
              <w:pStyle w:val="Gridtext"/>
              <w:jc w:val="center"/>
              <w:rPr>
                <w:color w:val="000000"/>
              </w:rPr>
            </w:pPr>
            <w:r>
              <w:rPr>
                <w:color w:val="000000"/>
              </w:rPr>
              <w:t>1</w:t>
            </w:r>
            <w:r>
              <w:rPr>
                <w:color w:val="000000"/>
              </w:rPr>
              <w:br/>
            </w:r>
            <w:r>
              <w:rPr>
                <w:color w:val="000000"/>
              </w:rPr>
              <w:br/>
            </w:r>
          </w:p>
        </w:tc>
        <w:tc>
          <w:tcPr>
            <w:tcW w:w="717" w:type="dxa"/>
            <w:shd w:val="clear" w:color="auto" w:fill="auto"/>
            <w:noWrap/>
            <w:tcMar>
              <w:top w:w="10" w:type="dxa"/>
              <w:left w:w="10" w:type="dxa"/>
              <w:bottom w:w="0" w:type="dxa"/>
              <w:right w:w="10" w:type="dxa"/>
            </w:tcMar>
            <w:vAlign w:val="bottom"/>
            <w:hideMark/>
          </w:tcPr>
          <w:p w:rsidR="00110B91" w:rsidRPr="000B4B45" w:rsidRDefault="00110B91" w:rsidP="00B91A3B">
            <w:pPr>
              <w:pStyle w:val="Gridtext"/>
            </w:pPr>
          </w:p>
        </w:tc>
        <w:tc>
          <w:tcPr>
            <w:tcW w:w="1252" w:type="dxa"/>
            <w:shd w:val="clear" w:color="auto" w:fill="auto"/>
            <w:noWrap/>
            <w:tcMar>
              <w:top w:w="10" w:type="dxa"/>
              <w:left w:w="10" w:type="dxa"/>
              <w:bottom w:w="0" w:type="dxa"/>
              <w:right w:w="10" w:type="dxa"/>
            </w:tcMar>
            <w:vAlign w:val="bottom"/>
            <w:hideMark/>
          </w:tcPr>
          <w:p w:rsidR="00110B91" w:rsidRPr="000B4B45" w:rsidRDefault="00BC3865" w:rsidP="00B91A3B">
            <w:pPr>
              <w:pStyle w:val="Gridtext"/>
            </w:pPr>
            <w:r>
              <w:rPr>
                <w:color w:val="000000"/>
              </w:rPr>
              <w:t>Easy</w:t>
            </w:r>
            <w:r>
              <w:rPr>
                <w:color w:val="000000"/>
              </w:rPr>
              <w:br/>
            </w:r>
            <w:r>
              <w:rPr>
                <w:color w:val="000000"/>
              </w:rPr>
              <w:br/>
            </w:r>
          </w:p>
        </w:tc>
        <w:tc>
          <w:tcPr>
            <w:tcW w:w="431" w:type="dxa"/>
            <w:shd w:val="clear" w:color="auto" w:fill="auto"/>
            <w:noWrap/>
            <w:tcMar>
              <w:top w:w="10" w:type="dxa"/>
              <w:left w:w="10" w:type="dxa"/>
              <w:bottom w:w="0" w:type="dxa"/>
              <w:right w:w="10" w:type="dxa"/>
            </w:tcMar>
            <w:vAlign w:val="bottom"/>
            <w:hideMark/>
          </w:tcPr>
          <w:p w:rsidR="00110B91" w:rsidRPr="000B4B45" w:rsidRDefault="00BC3865" w:rsidP="00A415D1">
            <w:pPr>
              <w:pStyle w:val="Gridtext"/>
              <w:jc w:val="center"/>
            </w:pPr>
            <w:r>
              <w:rPr>
                <w:color w:val="000000"/>
              </w:rPr>
              <w:t>5</w:t>
            </w:r>
            <w:r>
              <w:rPr>
                <w:color w:val="000000"/>
              </w:rPr>
              <w:br/>
            </w:r>
            <w:r>
              <w:rPr>
                <w:color w:val="000000"/>
              </w:rPr>
              <w:br/>
            </w:r>
          </w:p>
        </w:tc>
        <w:tc>
          <w:tcPr>
            <w:tcW w:w="1288" w:type="dxa"/>
            <w:shd w:val="clear" w:color="auto" w:fill="auto"/>
            <w:noWrap/>
            <w:tcMar>
              <w:top w:w="10" w:type="dxa"/>
              <w:left w:w="10" w:type="dxa"/>
              <w:bottom w:w="0" w:type="dxa"/>
              <w:right w:w="10" w:type="dxa"/>
            </w:tcMar>
            <w:vAlign w:val="bottom"/>
            <w:hideMark/>
          </w:tcPr>
          <w:p w:rsidR="00110B91" w:rsidRPr="000B4B45" w:rsidRDefault="00BC3865" w:rsidP="00B91A3B">
            <w:pPr>
              <w:pStyle w:val="Gridtext"/>
            </w:pPr>
            <w:r>
              <w:rPr>
                <w:color w:val="000000"/>
              </w:rPr>
              <w:t>Analytic</w:t>
            </w:r>
            <w:r>
              <w:rPr>
                <w:color w:val="000000"/>
              </w:rPr>
              <w:br/>
            </w:r>
            <w:r>
              <w:rPr>
                <w:color w:val="000000"/>
              </w:rPr>
              <w:br/>
            </w:r>
          </w:p>
        </w:tc>
        <w:tc>
          <w:tcPr>
            <w:tcW w:w="1432" w:type="dxa"/>
            <w:shd w:val="clear" w:color="auto" w:fill="auto"/>
            <w:noWrap/>
            <w:tcMar>
              <w:top w:w="10" w:type="dxa"/>
              <w:left w:w="10" w:type="dxa"/>
              <w:bottom w:w="0" w:type="dxa"/>
              <w:right w:w="10" w:type="dxa"/>
            </w:tcMar>
            <w:vAlign w:val="bottom"/>
            <w:hideMark/>
          </w:tcPr>
          <w:p w:rsidR="00110B91" w:rsidRPr="000B4B45" w:rsidRDefault="00BC3865" w:rsidP="00B91A3B">
            <w:pPr>
              <w:pStyle w:val="Gridtext"/>
            </w:pPr>
            <w:r>
              <w:rPr>
                <w:color w:val="000000"/>
              </w:rPr>
              <w:t>Measurement</w:t>
            </w:r>
            <w:r>
              <w:rPr>
                <w:color w:val="000000"/>
              </w:rPr>
              <w:br/>
            </w:r>
            <w:r>
              <w:rPr>
                <w:color w:val="000000"/>
              </w:rPr>
              <w:br/>
            </w:r>
          </w:p>
        </w:tc>
        <w:tc>
          <w:tcPr>
            <w:tcW w:w="1575" w:type="dxa"/>
            <w:shd w:val="clear" w:color="auto" w:fill="auto"/>
            <w:noWrap/>
            <w:tcMar>
              <w:top w:w="10" w:type="dxa"/>
              <w:left w:w="10" w:type="dxa"/>
              <w:bottom w:w="0" w:type="dxa"/>
              <w:right w:w="10" w:type="dxa"/>
            </w:tcMar>
            <w:vAlign w:val="bottom"/>
            <w:hideMark/>
          </w:tcPr>
          <w:p w:rsidR="00110B91" w:rsidRDefault="00BC3865" w:rsidP="00B91A3B">
            <w:pPr>
              <w:pStyle w:val="Gridtext"/>
              <w:rPr>
                <w:color w:val="000000"/>
              </w:rPr>
            </w:pPr>
            <w:r>
              <w:rPr>
                <w:color w:val="000000"/>
              </w:rPr>
              <w:t>Comprehension</w:t>
            </w:r>
            <w:r>
              <w:rPr>
                <w:color w:val="000000"/>
              </w:rPr>
              <w:br/>
            </w:r>
            <w:r>
              <w:rPr>
                <w:color w:val="000000"/>
              </w:rPr>
              <w:br/>
            </w:r>
          </w:p>
        </w:tc>
      </w:tr>
      <w:tr w:rsidR="00110B91" w:rsidRPr="000B4B45" w:rsidTr="009571F6">
        <w:trPr>
          <w:trHeight w:val="300"/>
        </w:trPr>
        <w:tc>
          <w:tcPr>
            <w:tcW w:w="825" w:type="dxa"/>
            <w:shd w:val="clear" w:color="auto" w:fill="auto"/>
            <w:noWrap/>
            <w:tcMar>
              <w:top w:w="10" w:type="dxa"/>
              <w:left w:w="10" w:type="dxa"/>
              <w:bottom w:w="0" w:type="dxa"/>
              <w:right w:w="10" w:type="dxa"/>
            </w:tcMar>
            <w:vAlign w:val="bottom"/>
            <w:hideMark/>
          </w:tcPr>
          <w:p w:rsidR="00110B91" w:rsidRPr="000B4B45" w:rsidRDefault="00110B91" w:rsidP="00110B91">
            <w:pPr>
              <w:pStyle w:val="Gridtext"/>
            </w:pPr>
            <w:r w:rsidRPr="000B4B45">
              <w:t>1</w:t>
            </w:r>
            <w:r>
              <w:t>-7</w:t>
            </w:r>
            <w:r w:rsidR="00BC3865">
              <w:br/>
            </w:r>
            <w:r w:rsidR="00BC3865">
              <w:br/>
            </w:r>
          </w:p>
        </w:tc>
        <w:tc>
          <w:tcPr>
            <w:tcW w:w="2146" w:type="dxa"/>
            <w:shd w:val="clear" w:color="auto" w:fill="auto"/>
            <w:tcMar>
              <w:top w:w="10" w:type="dxa"/>
              <w:left w:w="10" w:type="dxa"/>
              <w:bottom w:w="0" w:type="dxa"/>
              <w:right w:w="10" w:type="dxa"/>
            </w:tcMar>
            <w:vAlign w:val="bottom"/>
            <w:hideMark/>
          </w:tcPr>
          <w:p w:rsidR="00110B91" w:rsidRDefault="00BC3865" w:rsidP="00B91A3B">
            <w:pPr>
              <w:pStyle w:val="Gridtext"/>
              <w:rPr>
                <w:color w:val="000000"/>
              </w:rPr>
            </w:pPr>
            <w:r>
              <w:rPr>
                <w:color w:val="000000"/>
              </w:rPr>
              <w:t>Generally Accepted Accounting Procedures</w:t>
            </w:r>
          </w:p>
        </w:tc>
        <w:tc>
          <w:tcPr>
            <w:tcW w:w="2862" w:type="dxa"/>
            <w:shd w:val="clear" w:color="auto" w:fill="auto"/>
            <w:tcMar>
              <w:top w:w="10" w:type="dxa"/>
              <w:left w:w="10" w:type="dxa"/>
              <w:bottom w:w="0" w:type="dxa"/>
              <w:right w:w="10" w:type="dxa"/>
            </w:tcMar>
            <w:vAlign w:val="bottom"/>
            <w:hideMark/>
          </w:tcPr>
          <w:p w:rsidR="00110B91" w:rsidRDefault="00BC3865" w:rsidP="00AE6A64">
            <w:pPr>
              <w:pStyle w:val="Gridtext"/>
              <w:rPr>
                <w:color w:val="000000"/>
              </w:rPr>
            </w:pPr>
            <w:r>
              <w:rPr>
                <w:color w:val="000000"/>
              </w:rPr>
              <w:t>Definition of U.S. GAAP</w:t>
            </w:r>
            <w:r>
              <w:rPr>
                <w:color w:val="000000"/>
              </w:rPr>
              <w:br/>
            </w:r>
            <w:r>
              <w:rPr>
                <w:color w:val="000000"/>
              </w:rPr>
              <w:br/>
            </w:r>
          </w:p>
        </w:tc>
        <w:tc>
          <w:tcPr>
            <w:tcW w:w="288" w:type="dxa"/>
            <w:shd w:val="clear" w:color="auto" w:fill="auto"/>
            <w:tcMar>
              <w:top w:w="10" w:type="dxa"/>
              <w:left w:w="10" w:type="dxa"/>
              <w:bottom w:w="0" w:type="dxa"/>
              <w:right w:w="10" w:type="dxa"/>
            </w:tcMar>
            <w:vAlign w:val="bottom"/>
            <w:hideMark/>
          </w:tcPr>
          <w:p w:rsidR="00110B91" w:rsidRDefault="00BC3865" w:rsidP="00A415D1">
            <w:pPr>
              <w:pStyle w:val="Gridtext"/>
              <w:jc w:val="center"/>
              <w:rPr>
                <w:color w:val="000000"/>
              </w:rPr>
            </w:pPr>
            <w:r>
              <w:rPr>
                <w:color w:val="000000"/>
              </w:rPr>
              <w:t>1</w:t>
            </w:r>
            <w:r>
              <w:rPr>
                <w:color w:val="000000"/>
              </w:rPr>
              <w:br/>
            </w:r>
            <w:r>
              <w:rPr>
                <w:color w:val="000000"/>
              </w:rPr>
              <w:br/>
            </w:r>
          </w:p>
        </w:tc>
        <w:tc>
          <w:tcPr>
            <w:tcW w:w="717" w:type="dxa"/>
            <w:shd w:val="clear" w:color="auto" w:fill="auto"/>
            <w:noWrap/>
            <w:tcMar>
              <w:top w:w="10" w:type="dxa"/>
              <w:left w:w="10" w:type="dxa"/>
              <w:bottom w:w="0" w:type="dxa"/>
              <w:right w:w="10" w:type="dxa"/>
            </w:tcMar>
            <w:vAlign w:val="bottom"/>
            <w:hideMark/>
          </w:tcPr>
          <w:p w:rsidR="00110B91" w:rsidRPr="000B4B45" w:rsidRDefault="00110B91" w:rsidP="00B91A3B">
            <w:pPr>
              <w:pStyle w:val="Gridtext"/>
            </w:pPr>
          </w:p>
        </w:tc>
        <w:tc>
          <w:tcPr>
            <w:tcW w:w="1252" w:type="dxa"/>
            <w:shd w:val="clear" w:color="auto" w:fill="auto"/>
            <w:noWrap/>
            <w:tcMar>
              <w:top w:w="10" w:type="dxa"/>
              <w:left w:w="10" w:type="dxa"/>
              <w:bottom w:w="0" w:type="dxa"/>
              <w:right w:w="10" w:type="dxa"/>
            </w:tcMar>
            <w:vAlign w:val="bottom"/>
            <w:hideMark/>
          </w:tcPr>
          <w:p w:rsidR="00110B91" w:rsidRPr="000B4B45" w:rsidRDefault="00BC3865" w:rsidP="00B91A3B">
            <w:pPr>
              <w:pStyle w:val="Gridtext"/>
            </w:pPr>
            <w:r>
              <w:rPr>
                <w:color w:val="000000"/>
              </w:rPr>
              <w:t>Easy</w:t>
            </w:r>
            <w:r>
              <w:rPr>
                <w:color w:val="000000"/>
              </w:rPr>
              <w:br/>
            </w:r>
            <w:r>
              <w:rPr>
                <w:color w:val="000000"/>
              </w:rPr>
              <w:br/>
            </w:r>
          </w:p>
        </w:tc>
        <w:tc>
          <w:tcPr>
            <w:tcW w:w="431" w:type="dxa"/>
            <w:shd w:val="clear" w:color="auto" w:fill="auto"/>
            <w:noWrap/>
            <w:tcMar>
              <w:top w:w="10" w:type="dxa"/>
              <w:left w:w="10" w:type="dxa"/>
              <w:bottom w:w="0" w:type="dxa"/>
              <w:right w:w="10" w:type="dxa"/>
            </w:tcMar>
            <w:vAlign w:val="bottom"/>
            <w:hideMark/>
          </w:tcPr>
          <w:p w:rsidR="00110B91" w:rsidRPr="000B4B45" w:rsidRDefault="00BC3865" w:rsidP="00A415D1">
            <w:pPr>
              <w:pStyle w:val="Gridtext"/>
              <w:jc w:val="center"/>
            </w:pPr>
            <w:r>
              <w:rPr>
                <w:color w:val="000000"/>
              </w:rPr>
              <w:t>5</w:t>
            </w:r>
            <w:r>
              <w:rPr>
                <w:color w:val="000000"/>
              </w:rPr>
              <w:br/>
            </w:r>
            <w:r>
              <w:rPr>
                <w:color w:val="000000"/>
              </w:rPr>
              <w:br/>
            </w:r>
          </w:p>
        </w:tc>
        <w:tc>
          <w:tcPr>
            <w:tcW w:w="1288" w:type="dxa"/>
            <w:shd w:val="clear" w:color="auto" w:fill="auto"/>
            <w:noWrap/>
            <w:tcMar>
              <w:top w:w="10" w:type="dxa"/>
              <w:left w:w="10" w:type="dxa"/>
              <w:bottom w:w="0" w:type="dxa"/>
              <w:right w:w="10" w:type="dxa"/>
            </w:tcMar>
            <w:vAlign w:val="bottom"/>
            <w:hideMark/>
          </w:tcPr>
          <w:p w:rsidR="00110B91" w:rsidRPr="000B4B45" w:rsidRDefault="00BC3865" w:rsidP="00B91A3B">
            <w:pPr>
              <w:pStyle w:val="Gridtext"/>
            </w:pPr>
            <w:r>
              <w:rPr>
                <w:color w:val="000000"/>
              </w:rPr>
              <w:t>Analytic</w:t>
            </w:r>
            <w:r>
              <w:rPr>
                <w:color w:val="000000"/>
              </w:rPr>
              <w:br/>
            </w:r>
            <w:r>
              <w:rPr>
                <w:color w:val="000000"/>
              </w:rPr>
              <w:br/>
            </w:r>
          </w:p>
        </w:tc>
        <w:tc>
          <w:tcPr>
            <w:tcW w:w="1432" w:type="dxa"/>
            <w:shd w:val="clear" w:color="auto" w:fill="auto"/>
            <w:noWrap/>
            <w:tcMar>
              <w:top w:w="10" w:type="dxa"/>
              <w:left w:w="10" w:type="dxa"/>
              <w:bottom w:w="0" w:type="dxa"/>
              <w:right w:w="10" w:type="dxa"/>
            </w:tcMar>
            <w:vAlign w:val="bottom"/>
            <w:hideMark/>
          </w:tcPr>
          <w:p w:rsidR="00110B91" w:rsidRPr="000B4B45" w:rsidRDefault="00BC3865" w:rsidP="00B91A3B">
            <w:pPr>
              <w:pStyle w:val="Gridtext"/>
            </w:pPr>
            <w:r>
              <w:rPr>
                <w:color w:val="000000"/>
              </w:rPr>
              <w:t>Measurement</w:t>
            </w:r>
            <w:r>
              <w:rPr>
                <w:color w:val="000000"/>
              </w:rPr>
              <w:br/>
            </w:r>
            <w:r>
              <w:rPr>
                <w:color w:val="000000"/>
              </w:rPr>
              <w:br/>
            </w:r>
          </w:p>
        </w:tc>
        <w:tc>
          <w:tcPr>
            <w:tcW w:w="1575" w:type="dxa"/>
            <w:shd w:val="clear" w:color="auto" w:fill="auto"/>
            <w:noWrap/>
            <w:tcMar>
              <w:top w:w="10" w:type="dxa"/>
              <w:left w:w="10" w:type="dxa"/>
              <w:bottom w:w="0" w:type="dxa"/>
              <w:right w:w="10" w:type="dxa"/>
            </w:tcMar>
            <w:vAlign w:val="bottom"/>
            <w:hideMark/>
          </w:tcPr>
          <w:p w:rsidR="00110B91" w:rsidRDefault="00BC3865" w:rsidP="00B91A3B">
            <w:pPr>
              <w:pStyle w:val="Gridtext"/>
              <w:rPr>
                <w:color w:val="000000"/>
              </w:rPr>
            </w:pPr>
            <w:r>
              <w:rPr>
                <w:color w:val="000000"/>
              </w:rPr>
              <w:t>Comprehension</w:t>
            </w:r>
            <w:r>
              <w:rPr>
                <w:color w:val="000000"/>
              </w:rPr>
              <w:br/>
            </w:r>
            <w:r>
              <w:rPr>
                <w:color w:val="000000"/>
              </w:rPr>
              <w:br/>
            </w:r>
          </w:p>
        </w:tc>
      </w:tr>
      <w:tr w:rsidR="00110B91" w:rsidRPr="000B4B45" w:rsidTr="009571F6">
        <w:trPr>
          <w:trHeight w:val="300"/>
        </w:trPr>
        <w:tc>
          <w:tcPr>
            <w:tcW w:w="825" w:type="dxa"/>
            <w:shd w:val="clear" w:color="auto" w:fill="auto"/>
            <w:noWrap/>
            <w:tcMar>
              <w:top w:w="10" w:type="dxa"/>
              <w:left w:w="10" w:type="dxa"/>
              <w:bottom w:w="0" w:type="dxa"/>
              <w:right w:w="10" w:type="dxa"/>
            </w:tcMar>
            <w:vAlign w:val="bottom"/>
            <w:hideMark/>
          </w:tcPr>
          <w:p w:rsidR="00110B91" w:rsidRPr="000B4B45" w:rsidRDefault="00110B91" w:rsidP="00B91A3B">
            <w:pPr>
              <w:pStyle w:val="Gridtext"/>
            </w:pPr>
            <w:r w:rsidRPr="000B4B45">
              <w:t>1</w:t>
            </w:r>
            <w:r>
              <w:t>-8</w:t>
            </w:r>
            <w:r w:rsidR="00BC3865">
              <w:br/>
            </w:r>
          </w:p>
        </w:tc>
        <w:tc>
          <w:tcPr>
            <w:tcW w:w="2146" w:type="dxa"/>
            <w:shd w:val="clear" w:color="auto" w:fill="auto"/>
            <w:tcMar>
              <w:top w:w="10" w:type="dxa"/>
              <w:left w:w="10" w:type="dxa"/>
              <w:bottom w:w="0" w:type="dxa"/>
              <w:right w:w="10" w:type="dxa"/>
            </w:tcMar>
            <w:vAlign w:val="bottom"/>
            <w:hideMark/>
          </w:tcPr>
          <w:p w:rsidR="00110B91" w:rsidRDefault="00BC3865" w:rsidP="007435AB">
            <w:pPr>
              <w:pStyle w:val="Gridtext"/>
              <w:rPr>
                <w:color w:val="000000"/>
              </w:rPr>
            </w:pPr>
            <w:r>
              <w:rPr>
                <w:color w:val="000000"/>
              </w:rPr>
              <w:t>Standard Setting</w:t>
            </w:r>
            <w:r>
              <w:rPr>
                <w:color w:val="000000"/>
              </w:rPr>
              <w:br/>
            </w:r>
          </w:p>
        </w:tc>
        <w:tc>
          <w:tcPr>
            <w:tcW w:w="2862" w:type="dxa"/>
            <w:shd w:val="clear" w:color="auto" w:fill="auto"/>
            <w:tcMar>
              <w:top w:w="10" w:type="dxa"/>
              <w:left w:w="10" w:type="dxa"/>
              <w:bottom w:w="0" w:type="dxa"/>
              <w:right w:w="10" w:type="dxa"/>
            </w:tcMar>
            <w:vAlign w:val="bottom"/>
            <w:hideMark/>
          </w:tcPr>
          <w:p w:rsidR="00110B91" w:rsidRDefault="00BC3865" w:rsidP="00BC3865">
            <w:pPr>
              <w:pStyle w:val="Gridtext"/>
              <w:rPr>
                <w:color w:val="000000"/>
              </w:rPr>
            </w:pPr>
            <w:r>
              <w:rPr>
                <w:color w:val="000000"/>
              </w:rPr>
              <w:t>Supply of accounting information</w:t>
            </w:r>
          </w:p>
        </w:tc>
        <w:tc>
          <w:tcPr>
            <w:tcW w:w="288" w:type="dxa"/>
            <w:shd w:val="clear" w:color="auto" w:fill="auto"/>
            <w:tcMar>
              <w:top w:w="10" w:type="dxa"/>
              <w:left w:w="10" w:type="dxa"/>
              <w:bottom w:w="0" w:type="dxa"/>
              <w:right w:w="10" w:type="dxa"/>
            </w:tcMar>
            <w:vAlign w:val="bottom"/>
            <w:hideMark/>
          </w:tcPr>
          <w:p w:rsidR="00110B91" w:rsidRDefault="00BC3865" w:rsidP="00A415D1">
            <w:pPr>
              <w:pStyle w:val="Gridtext"/>
              <w:jc w:val="center"/>
              <w:rPr>
                <w:color w:val="000000"/>
              </w:rPr>
            </w:pPr>
            <w:r>
              <w:rPr>
                <w:color w:val="000000"/>
              </w:rPr>
              <w:t>2</w:t>
            </w:r>
            <w:r>
              <w:rPr>
                <w:color w:val="000000"/>
              </w:rPr>
              <w:br/>
            </w:r>
          </w:p>
        </w:tc>
        <w:tc>
          <w:tcPr>
            <w:tcW w:w="717" w:type="dxa"/>
            <w:shd w:val="clear" w:color="auto" w:fill="auto"/>
            <w:noWrap/>
            <w:tcMar>
              <w:top w:w="10" w:type="dxa"/>
              <w:left w:w="10" w:type="dxa"/>
              <w:bottom w:w="0" w:type="dxa"/>
              <w:right w:w="10" w:type="dxa"/>
            </w:tcMar>
            <w:vAlign w:val="bottom"/>
            <w:hideMark/>
          </w:tcPr>
          <w:p w:rsidR="00110B91" w:rsidRPr="000B4B45" w:rsidRDefault="00110B91" w:rsidP="00B91A3B">
            <w:pPr>
              <w:pStyle w:val="Gridtext"/>
            </w:pPr>
          </w:p>
        </w:tc>
        <w:tc>
          <w:tcPr>
            <w:tcW w:w="1252" w:type="dxa"/>
            <w:shd w:val="clear" w:color="auto" w:fill="auto"/>
            <w:noWrap/>
            <w:tcMar>
              <w:top w:w="10" w:type="dxa"/>
              <w:left w:w="10" w:type="dxa"/>
              <w:bottom w:w="0" w:type="dxa"/>
              <w:right w:w="10" w:type="dxa"/>
            </w:tcMar>
            <w:vAlign w:val="bottom"/>
            <w:hideMark/>
          </w:tcPr>
          <w:p w:rsidR="00110B91" w:rsidRPr="000B4B45" w:rsidRDefault="00BC3865" w:rsidP="00B91A3B">
            <w:pPr>
              <w:pStyle w:val="Gridtext"/>
            </w:pPr>
            <w:r>
              <w:rPr>
                <w:color w:val="000000"/>
              </w:rPr>
              <w:t>Easy</w:t>
            </w:r>
            <w:r>
              <w:rPr>
                <w:color w:val="000000"/>
              </w:rPr>
              <w:br/>
            </w:r>
          </w:p>
        </w:tc>
        <w:tc>
          <w:tcPr>
            <w:tcW w:w="431" w:type="dxa"/>
            <w:shd w:val="clear" w:color="auto" w:fill="auto"/>
            <w:noWrap/>
            <w:tcMar>
              <w:top w:w="10" w:type="dxa"/>
              <w:left w:w="10" w:type="dxa"/>
              <w:bottom w:w="0" w:type="dxa"/>
              <w:right w:w="10" w:type="dxa"/>
            </w:tcMar>
            <w:vAlign w:val="bottom"/>
            <w:hideMark/>
          </w:tcPr>
          <w:p w:rsidR="00110B91" w:rsidRPr="000B4B45" w:rsidRDefault="00BC3865" w:rsidP="00A415D1">
            <w:pPr>
              <w:pStyle w:val="Gridtext"/>
              <w:jc w:val="center"/>
            </w:pPr>
            <w:r>
              <w:rPr>
                <w:color w:val="000000"/>
              </w:rPr>
              <w:t>5</w:t>
            </w:r>
            <w:r>
              <w:rPr>
                <w:color w:val="000000"/>
              </w:rPr>
              <w:br/>
            </w:r>
          </w:p>
        </w:tc>
        <w:tc>
          <w:tcPr>
            <w:tcW w:w="1288" w:type="dxa"/>
            <w:shd w:val="clear" w:color="auto" w:fill="auto"/>
            <w:noWrap/>
            <w:tcMar>
              <w:top w:w="10" w:type="dxa"/>
              <w:left w:w="10" w:type="dxa"/>
              <w:bottom w:w="0" w:type="dxa"/>
              <w:right w:w="10" w:type="dxa"/>
            </w:tcMar>
            <w:vAlign w:val="bottom"/>
            <w:hideMark/>
          </w:tcPr>
          <w:p w:rsidR="00110B91" w:rsidRPr="000B4B45" w:rsidRDefault="00BC3865" w:rsidP="00B91A3B">
            <w:pPr>
              <w:pStyle w:val="Gridtext"/>
            </w:pPr>
            <w:r>
              <w:rPr>
                <w:color w:val="000000"/>
              </w:rPr>
              <w:t>Analytic</w:t>
            </w:r>
            <w:r>
              <w:rPr>
                <w:color w:val="000000"/>
              </w:rPr>
              <w:br/>
            </w:r>
          </w:p>
        </w:tc>
        <w:tc>
          <w:tcPr>
            <w:tcW w:w="1432" w:type="dxa"/>
            <w:shd w:val="clear" w:color="auto" w:fill="auto"/>
            <w:noWrap/>
            <w:tcMar>
              <w:top w:w="10" w:type="dxa"/>
              <w:left w:w="10" w:type="dxa"/>
              <w:bottom w:w="0" w:type="dxa"/>
              <w:right w:w="10" w:type="dxa"/>
            </w:tcMar>
            <w:vAlign w:val="bottom"/>
            <w:hideMark/>
          </w:tcPr>
          <w:p w:rsidR="00110B91" w:rsidRPr="000B4B45" w:rsidRDefault="00BC3865" w:rsidP="00B91A3B">
            <w:pPr>
              <w:pStyle w:val="Gridtext"/>
            </w:pPr>
            <w:r>
              <w:rPr>
                <w:color w:val="000000"/>
              </w:rPr>
              <w:t>Measurement</w:t>
            </w:r>
            <w:r>
              <w:rPr>
                <w:color w:val="000000"/>
              </w:rPr>
              <w:br/>
            </w:r>
          </w:p>
        </w:tc>
        <w:tc>
          <w:tcPr>
            <w:tcW w:w="1575" w:type="dxa"/>
            <w:shd w:val="clear" w:color="auto" w:fill="auto"/>
            <w:noWrap/>
            <w:tcMar>
              <w:top w:w="10" w:type="dxa"/>
              <w:left w:w="10" w:type="dxa"/>
              <w:bottom w:w="0" w:type="dxa"/>
              <w:right w:w="10" w:type="dxa"/>
            </w:tcMar>
            <w:vAlign w:val="bottom"/>
            <w:hideMark/>
          </w:tcPr>
          <w:p w:rsidR="00110B91" w:rsidRDefault="00BC3865" w:rsidP="00B91A3B">
            <w:pPr>
              <w:pStyle w:val="Gridtext"/>
              <w:rPr>
                <w:color w:val="000000"/>
              </w:rPr>
            </w:pPr>
            <w:r>
              <w:rPr>
                <w:color w:val="000000"/>
              </w:rPr>
              <w:t>Comprehension</w:t>
            </w:r>
            <w:r>
              <w:rPr>
                <w:color w:val="000000"/>
              </w:rPr>
              <w:br/>
            </w:r>
          </w:p>
        </w:tc>
      </w:tr>
      <w:tr w:rsidR="00110B91" w:rsidRPr="000B4B45" w:rsidTr="009571F6">
        <w:trPr>
          <w:trHeight w:val="300"/>
        </w:trPr>
        <w:tc>
          <w:tcPr>
            <w:tcW w:w="825" w:type="dxa"/>
            <w:shd w:val="clear" w:color="auto" w:fill="auto"/>
            <w:noWrap/>
            <w:tcMar>
              <w:top w:w="10" w:type="dxa"/>
              <w:left w:w="10" w:type="dxa"/>
              <w:bottom w:w="0" w:type="dxa"/>
              <w:right w:w="10" w:type="dxa"/>
            </w:tcMar>
            <w:vAlign w:val="bottom"/>
            <w:hideMark/>
          </w:tcPr>
          <w:p w:rsidR="00110B91" w:rsidRPr="000B4B45" w:rsidRDefault="00110B91" w:rsidP="00B91A3B">
            <w:pPr>
              <w:pStyle w:val="Gridtext"/>
            </w:pPr>
            <w:r w:rsidRPr="000B4B45">
              <w:t>1</w:t>
            </w:r>
            <w:r>
              <w:t>-9</w:t>
            </w:r>
          </w:p>
        </w:tc>
        <w:tc>
          <w:tcPr>
            <w:tcW w:w="2146" w:type="dxa"/>
            <w:shd w:val="clear" w:color="auto" w:fill="auto"/>
            <w:tcMar>
              <w:top w:w="10" w:type="dxa"/>
              <w:left w:w="10" w:type="dxa"/>
              <w:bottom w:w="0" w:type="dxa"/>
              <w:right w:w="10" w:type="dxa"/>
            </w:tcMar>
            <w:vAlign w:val="bottom"/>
            <w:hideMark/>
          </w:tcPr>
          <w:p w:rsidR="00110B91" w:rsidRDefault="00615B3D" w:rsidP="007435AB">
            <w:pPr>
              <w:pStyle w:val="Gridtext"/>
              <w:rPr>
                <w:color w:val="000000"/>
              </w:rPr>
            </w:pPr>
            <w:r>
              <w:rPr>
                <w:color w:val="000000"/>
              </w:rPr>
              <w:t>Standard Setting</w:t>
            </w:r>
          </w:p>
        </w:tc>
        <w:tc>
          <w:tcPr>
            <w:tcW w:w="2862" w:type="dxa"/>
            <w:shd w:val="clear" w:color="auto" w:fill="auto"/>
            <w:tcMar>
              <w:top w:w="10" w:type="dxa"/>
              <w:left w:w="10" w:type="dxa"/>
              <w:bottom w:w="0" w:type="dxa"/>
              <w:right w:w="10" w:type="dxa"/>
            </w:tcMar>
            <w:vAlign w:val="bottom"/>
            <w:hideMark/>
          </w:tcPr>
          <w:p w:rsidR="00110B91" w:rsidRDefault="00615B3D" w:rsidP="00AE6A64">
            <w:pPr>
              <w:pStyle w:val="Gridtext"/>
              <w:rPr>
                <w:color w:val="000000"/>
              </w:rPr>
            </w:pPr>
            <w:r>
              <w:rPr>
                <w:color w:val="000000"/>
              </w:rPr>
              <w:t>Role of SEC</w:t>
            </w:r>
          </w:p>
        </w:tc>
        <w:tc>
          <w:tcPr>
            <w:tcW w:w="288" w:type="dxa"/>
            <w:shd w:val="clear" w:color="auto" w:fill="auto"/>
            <w:tcMar>
              <w:top w:w="10" w:type="dxa"/>
              <w:left w:w="10" w:type="dxa"/>
              <w:bottom w:w="0" w:type="dxa"/>
              <w:right w:w="10" w:type="dxa"/>
            </w:tcMar>
            <w:vAlign w:val="bottom"/>
            <w:hideMark/>
          </w:tcPr>
          <w:p w:rsidR="00110B91" w:rsidRDefault="00615B3D" w:rsidP="00A415D1">
            <w:pPr>
              <w:pStyle w:val="Gridtext"/>
              <w:jc w:val="center"/>
              <w:rPr>
                <w:color w:val="000000"/>
              </w:rPr>
            </w:pPr>
            <w:r>
              <w:rPr>
                <w:color w:val="000000"/>
              </w:rPr>
              <w:t>2</w:t>
            </w:r>
          </w:p>
        </w:tc>
        <w:tc>
          <w:tcPr>
            <w:tcW w:w="717" w:type="dxa"/>
            <w:shd w:val="clear" w:color="auto" w:fill="auto"/>
            <w:noWrap/>
            <w:tcMar>
              <w:top w:w="10" w:type="dxa"/>
              <w:left w:w="10" w:type="dxa"/>
              <w:bottom w:w="0" w:type="dxa"/>
              <w:right w:w="10" w:type="dxa"/>
            </w:tcMar>
            <w:vAlign w:val="bottom"/>
            <w:hideMark/>
          </w:tcPr>
          <w:p w:rsidR="00110B91" w:rsidRPr="000B4B45" w:rsidRDefault="00110B91" w:rsidP="00B91A3B">
            <w:pPr>
              <w:pStyle w:val="Gridtext"/>
            </w:pPr>
          </w:p>
        </w:tc>
        <w:tc>
          <w:tcPr>
            <w:tcW w:w="1252" w:type="dxa"/>
            <w:shd w:val="clear" w:color="auto" w:fill="auto"/>
            <w:noWrap/>
            <w:tcMar>
              <w:top w:w="10" w:type="dxa"/>
              <w:left w:w="10" w:type="dxa"/>
              <w:bottom w:w="0" w:type="dxa"/>
              <w:right w:w="10" w:type="dxa"/>
            </w:tcMar>
            <w:vAlign w:val="bottom"/>
            <w:hideMark/>
          </w:tcPr>
          <w:p w:rsidR="00110B91" w:rsidRPr="000B4B45" w:rsidRDefault="00615B3D" w:rsidP="00B91A3B">
            <w:pPr>
              <w:pStyle w:val="Gridtext"/>
            </w:pPr>
            <w:r>
              <w:rPr>
                <w:color w:val="000000"/>
              </w:rPr>
              <w:t>Easy</w:t>
            </w:r>
          </w:p>
        </w:tc>
        <w:tc>
          <w:tcPr>
            <w:tcW w:w="431" w:type="dxa"/>
            <w:shd w:val="clear" w:color="auto" w:fill="auto"/>
            <w:noWrap/>
            <w:tcMar>
              <w:top w:w="10" w:type="dxa"/>
              <w:left w:w="10" w:type="dxa"/>
              <w:bottom w:w="0" w:type="dxa"/>
              <w:right w:w="10" w:type="dxa"/>
            </w:tcMar>
            <w:vAlign w:val="bottom"/>
            <w:hideMark/>
          </w:tcPr>
          <w:p w:rsidR="00110B91" w:rsidRPr="000B4B45" w:rsidRDefault="00615B3D" w:rsidP="00A415D1">
            <w:pPr>
              <w:pStyle w:val="Gridtext"/>
              <w:jc w:val="center"/>
            </w:pPr>
            <w:r>
              <w:rPr>
                <w:color w:val="000000"/>
              </w:rPr>
              <w:t>5</w:t>
            </w:r>
          </w:p>
        </w:tc>
        <w:tc>
          <w:tcPr>
            <w:tcW w:w="1288" w:type="dxa"/>
            <w:shd w:val="clear" w:color="auto" w:fill="auto"/>
            <w:noWrap/>
            <w:tcMar>
              <w:top w:w="10" w:type="dxa"/>
              <w:left w:w="10" w:type="dxa"/>
              <w:bottom w:w="0" w:type="dxa"/>
              <w:right w:w="10" w:type="dxa"/>
            </w:tcMar>
            <w:vAlign w:val="bottom"/>
            <w:hideMark/>
          </w:tcPr>
          <w:p w:rsidR="00110B91" w:rsidRPr="000B4B45" w:rsidRDefault="00615B3D" w:rsidP="00B91A3B">
            <w:pPr>
              <w:pStyle w:val="Gridtext"/>
            </w:pPr>
            <w:r>
              <w:rPr>
                <w:color w:val="000000"/>
              </w:rPr>
              <w:t>Analytic</w:t>
            </w:r>
          </w:p>
        </w:tc>
        <w:tc>
          <w:tcPr>
            <w:tcW w:w="1432" w:type="dxa"/>
            <w:shd w:val="clear" w:color="auto" w:fill="auto"/>
            <w:noWrap/>
            <w:tcMar>
              <w:top w:w="10" w:type="dxa"/>
              <w:left w:w="10" w:type="dxa"/>
              <w:bottom w:w="0" w:type="dxa"/>
              <w:right w:w="10" w:type="dxa"/>
            </w:tcMar>
            <w:vAlign w:val="bottom"/>
            <w:hideMark/>
          </w:tcPr>
          <w:p w:rsidR="00110B91" w:rsidRPr="000B4B45" w:rsidRDefault="00615B3D" w:rsidP="00B91A3B">
            <w:pPr>
              <w:pStyle w:val="Gridtext"/>
            </w:pPr>
            <w:r>
              <w:rPr>
                <w:color w:val="000000"/>
              </w:rPr>
              <w:t>Measurement</w:t>
            </w:r>
          </w:p>
        </w:tc>
        <w:tc>
          <w:tcPr>
            <w:tcW w:w="1575" w:type="dxa"/>
            <w:shd w:val="clear" w:color="auto" w:fill="auto"/>
            <w:noWrap/>
            <w:tcMar>
              <w:top w:w="10" w:type="dxa"/>
              <w:left w:w="10" w:type="dxa"/>
              <w:bottom w:w="0" w:type="dxa"/>
              <w:right w:w="10" w:type="dxa"/>
            </w:tcMar>
            <w:vAlign w:val="bottom"/>
            <w:hideMark/>
          </w:tcPr>
          <w:p w:rsidR="00110B91" w:rsidRDefault="00615B3D" w:rsidP="00B91A3B">
            <w:pPr>
              <w:pStyle w:val="Gridtext"/>
              <w:rPr>
                <w:color w:val="000000"/>
              </w:rPr>
            </w:pPr>
            <w:r>
              <w:rPr>
                <w:color w:val="000000"/>
              </w:rPr>
              <w:t>Comprehension</w:t>
            </w:r>
          </w:p>
        </w:tc>
      </w:tr>
      <w:tr w:rsidR="00110B91" w:rsidRPr="000B4B45" w:rsidTr="009571F6">
        <w:trPr>
          <w:trHeight w:val="300"/>
        </w:trPr>
        <w:tc>
          <w:tcPr>
            <w:tcW w:w="825" w:type="dxa"/>
            <w:shd w:val="clear" w:color="auto" w:fill="auto"/>
            <w:noWrap/>
            <w:tcMar>
              <w:top w:w="10" w:type="dxa"/>
              <w:left w:w="10" w:type="dxa"/>
              <w:bottom w:w="0" w:type="dxa"/>
              <w:right w:w="10" w:type="dxa"/>
            </w:tcMar>
            <w:vAlign w:val="bottom"/>
            <w:hideMark/>
          </w:tcPr>
          <w:p w:rsidR="00110B91" w:rsidRPr="000B4B45" w:rsidRDefault="00110B91" w:rsidP="00B91A3B">
            <w:pPr>
              <w:pStyle w:val="Gridtext"/>
            </w:pPr>
            <w:r w:rsidRPr="000B4B45">
              <w:t>1</w:t>
            </w:r>
            <w:r>
              <w:t>-10</w:t>
            </w:r>
          </w:p>
        </w:tc>
        <w:tc>
          <w:tcPr>
            <w:tcW w:w="2146" w:type="dxa"/>
            <w:shd w:val="clear" w:color="auto" w:fill="auto"/>
            <w:tcMar>
              <w:top w:w="10" w:type="dxa"/>
              <w:left w:w="10" w:type="dxa"/>
              <w:bottom w:w="0" w:type="dxa"/>
              <w:right w:w="10" w:type="dxa"/>
            </w:tcMar>
            <w:vAlign w:val="bottom"/>
            <w:hideMark/>
          </w:tcPr>
          <w:p w:rsidR="00110B91" w:rsidRDefault="00615B3D" w:rsidP="007435AB">
            <w:pPr>
              <w:pStyle w:val="Gridtext"/>
              <w:rPr>
                <w:color w:val="000000"/>
              </w:rPr>
            </w:pPr>
            <w:r>
              <w:rPr>
                <w:color w:val="000000"/>
              </w:rPr>
              <w:t>Standard Setting</w:t>
            </w:r>
          </w:p>
        </w:tc>
        <w:tc>
          <w:tcPr>
            <w:tcW w:w="2862" w:type="dxa"/>
            <w:shd w:val="clear" w:color="auto" w:fill="auto"/>
            <w:tcMar>
              <w:top w:w="10" w:type="dxa"/>
              <w:left w:w="10" w:type="dxa"/>
              <w:bottom w:w="0" w:type="dxa"/>
              <w:right w:w="10" w:type="dxa"/>
            </w:tcMar>
            <w:vAlign w:val="bottom"/>
            <w:hideMark/>
          </w:tcPr>
          <w:p w:rsidR="00110B91" w:rsidRDefault="00615B3D" w:rsidP="00AE6A64">
            <w:pPr>
              <w:pStyle w:val="Gridtext"/>
              <w:rPr>
                <w:color w:val="000000"/>
              </w:rPr>
            </w:pPr>
            <w:r>
              <w:rPr>
                <w:color w:val="000000"/>
              </w:rPr>
              <w:t>Role of FASB</w:t>
            </w:r>
          </w:p>
        </w:tc>
        <w:tc>
          <w:tcPr>
            <w:tcW w:w="288" w:type="dxa"/>
            <w:shd w:val="clear" w:color="auto" w:fill="auto"/>
            <w:tcMar>
              <w:top w:w="10" w:type="dxa"/>
              <w:left w:w="10" w:type="dxa"/>
              <w:bottom w:w="0" w:type="dxa"/>
              <w:right w:w="10" w:type="dxa"/>
            </w:tcMar>
            <w:vAlign w:val="bottom"/>
            <w:hideMark/>
          </w:tcPr>
          <w:p w:rsidR="00110B91" w:rsidRDefault="00615B3D" w:rsidP="00A415D1">
            <w:pPr>
              <w:pStyle w:val="Gridtext"/>
              <w:jc w:val="center"/>
              <w:rPr>
                <w:color w:val="000000"/>
              </w:rPr>
            </w:pPr>
            <w:r>
              <w:rPr>
                <w:color w:val="000000"/>
              </w:rPr>
              <w:t>3</w:t>
            </w:r>
          </w:p>
        </w:tc>
        <w:tc>
          <w:tcPr>
            <w:tcW w:w="717" w:type="dxa"/>
            <w:shd w:val="clear" w:color="auto" w:fill="auto"/>
            <w:noWrap/>
            <w:tcMar>
              <w:top w:w="10" w:type="dxa"/>
              <w:left w:w="10" w:type="dxa"/>
              <w:bottom w:w="0" w:type="dxa"/>
              <w:right w:w="10" w:type="dxa"/>
            </w:tcMar>
            <w:vAlign w:val="bottom"/>
            <w:hideMark/>
          </w:tcPr>
          <w:p w:rsidR="00110B91" w:rsidRPr="000B4B45" w:rsidRDefault="00110B91" w:rsidP="00B91A3B">
            <w:pPr>
              <w:pStyle w:val="Gridtext"/>
            </w:pPr>
          </w:p>
        </w:tc>
        <w:tc>
          <w:tcPr>
            <w:tcW w:w="1252" w:type="dxa"/>
            <w:shd w:val="clear" w:color="auto" w:fill="auto"/>
            <w:noWrap/>
            <w:tcMar>
              <w:top w:w="10" w:type="dxa"/>
              <w:left w:w="10" w:type="dxa"/>
              <w:bottom w:w="0" w:type="dxa"/>
              <w:right w:w="10" w:type="dxa"/>
            </w:tcMar>
            <w:vAlign w:val="bottom"/>
            <w:hideMark/>
          </w:tcPr>
          <w:p w:rsidR="00110B91" w:rsidRPr="000B4B45" w:rsidRDefault="00615B3D" w:rsidP="00B91A3B">
            <w:pPr>
              <w:pStyle w:val="Gridtext"/>
            </w:pPr>
            <w:r>
              <w:rPr>
                <w:color w:val="000000"/>
              </w:rPr>
              <w:t>Easy</w:t>
            </w:r>
          </w:p>
        </w:tc>
        <w:tc>
          <w:tcPr>
            <w:tcW w:w="431" w:type="dxa"/>
            <w:shd w:val="clear" w:color="auto" w:fill="auto"/>
            <w:noWrap/>
            <w:tcMar>
              <w:top w:w="10" w:type="dxa"/>
              <w:left w:w="10" w:type="dxa"/>
              <w:bottom w:w="0" w:type="dxa"/>
              <w:right w:w="10" w:type="dxa"/>
            </w:tcMar>
            <w:vAlign w:val="bottom"/>
            <w:hideMark/>
          </w:tcPr>
          <w:p w:rsidR="00110B91" w:rsidRPr="000B4B45" w:rsidRDefault="00615B3D" w:rsidP="00A415D1">
            <w:pPr>
              <w:pStyle w:val="Gridtext"/>
              <w:jc w:val="center"/>
            </w:pPr>
            <w:r>
              <w:rPr>
                <w:color w:val="000000"/>
              </w:rPr>
              <w:t>5</w:t>
            </w:r>
          </w:p>
        </w:tc>
        <w:tc>
          <w:tcPr>
            <w:tcW w:w="1288" w:type="dxa"/>
            <w:shd w:val="clear" w:color="auto" w:fill="auto"/>
            <w:noWrap/>
            <w:tcMar>
              <w:top w:w="10" w:type="dxa"/>
              <w:left w:w="10" w:type="dxa"/>
              <w:bottom w:w="0" w:type="dxa"/>
              <w:right w:w="10" w:type="dxa"/>
            </w:tcMar>
            <w:vAlign w:val="bottom"/>
            <w:hideMark/>
          </w:tcPr>
          <w:p w:rsidR="00110B91" w:rsidRPr="000B4B45" w:rsidRDefault="00615B3D" w:rsidP="00B91A3B">
            <w:pPr>
              <w:pStyle w:val="Gridtext"/>
            </w:pPr>
            <w:r>
              <w:rPr>
                <w:color w:val="000000"/>
              </w:rPr>
              <w:t>Analytic</w:t>
            </w:r>
          </w:p>
        </w:tc>
        <w:tc>
          <w:tcPr>
            <w:tcW w:w="1432" w:type="dxa"/>
            <w:shd w:val="clear" w:color="auto" w:fill="auto"/>
            <w:noWrap/>
            <w:tcMar>
              <w:top w:w="10" w:type="dxa"/>
              <w:left w:w="10" w:type="dxa"/>
              <w:bottom w:w="0" w:type="dxa"/>
              <w:right w:w="10" w:type="dxa"/>
            </w:tcMar>
            <w:vAlign w:val="bottom"/>
            <w:hideMark/>
          </w:tcPr>
          <w:p w:rsidR="00110B91" w:rsidRPr="000B4B45" w:rsidRDefault="00615B3D" w:rsidP="00B91A3B">
            <w:pPr>
              <w:pStyle w:val="Gridtext"/>
            </w:pPr>
            <w:r>
              <w:rPr>
                <w:color w:val="000000"/>
              </w:rPr>
              <w:t>Measurement</w:t>
            </w:r>
          </w:p>
        </w:tc>
        <w:tc>
          <w:tcPr>
            <w:tcW w:w="1575" w:type="dxa"/>
            <w:shd w:val="clear" w:color="auto" w:fill="auto"/>
            <w:noWrap/>
            <w:tcMar>
              <w:top w:w="10" w:type="dxa"/>
              <w:left w:w="10" w:type="dxa"/>
              <w:bottom w:w="0" w:type="dxa"/>
              <w:right w:w="10" w:type="dxa"/>
            </w:tcMar>
            <w:vAlign w:val="bottom"/>
            <w:hideMark/>
          </w:tcPr>
          <w:p w:rsidR="00110B91" w:rsidRDefault="00615B3D" w:rsidP="00B91A3B">
            <w:pPr>
              <w:pStyle w:val="Gridtext"/>
              <w:rPr>
                <w:color w:val="000000"/>
              </w:rPr>
            </w:pPr>
            <w:r>
              <w:rPr>
                <w:color w:val="000000"/>
              </w:rPr>
              <w:t>Comprehension</w:t>
            </w:r>
          </w:p>
        </w:tc>
      </w:tr>
      <w:tr w:rsidR="009571F6" w:rsidRPr="000B4B45" w:rsidTr="009571F6">
        <w:trPr>
          <w:trHeight w:val="300"/>
        </w:trPr>
        <w:tc>
          <w:tcPr>
            <w:tcW w:w="825" w:type="dxa"/>
            <w:shd w:val="clear" w:color="auto" w:fill="auto"/>
            <w:noWrap/>
            <w:tcMar>
              <w:top w:w="10" w:type="dxa"/>
              <w:left w:w="10" w:type="dxa"/>
              <w:bottom w:w="0" w:type="dxa"/>
              <w:right w:w="10" w:type="dxa"/>
            </w:tcMar>
            <w:vAlign w:val="bottom"/>
          </w:tcPr>
          <w:p w:rsidR="009571F6" w:rsidRPr="000B4B45" w:rsidRDefault="009571F6" w:rsidP="009571F6">
            <w:pPr>
              <w:pStyle w:val="Gridtext"/>
            </w:pPr>
            <w:r w:rsidRPr="000B4B45">
              <w:t>1</w:t>
            </w:r>
            <w:r>
              <w:t>-11</w:t>
            </w:r>
          </w:p>
        </w:tc>
        <w:tc>
          <w:tcPr>
            <w:tcW w:w="2146" w:type="dxa"/>
            <w:shd w:val="clear" w:color="auto" w:fill="auto"/>
            <w:tcMar>
              <w:top w:w="10" w:type="dxa"/>
              <w:left w:w="10" w:type="dxa"/>
              <w:bottom w:w="0" w:type="dxa"/>
              <w:right w:w="10" w:type="dxa"/>
            </w:tcMar>
            <w:vAlign w:val="bottom"/>
          </w:tcPr>
          <w:p w:rsidR="009571F6" w:rsidRDefault="009571F6" w:rsidP="009571F6">
            <w:pPr>
              <w:pStyle w:val="Gridtext"/>
              <w:rPr>
                <w:color w:val="000000"/>
              </w:rPr>
            </w:pPr>
            <w:r>
              <w:rPr>
                <w:color w:val="000000"/>
              </w:rPr>
              <w:t>Standard Setting</w:t>
            </w:r>
          </w:p>
        </w:tc>
        <w:tc>
          <w:tcPr>
            <w:tcW w:w="2862" w:type="dxa"/>
            <w:shd w:val="clear" w:color="auto" w:fill="auto"/>
            <w:tcMar>
              <w:top w:w="10" w:type="dxa"/>
              <w:left w:w="10" w:type="dxa"/>
              <w:bottom w:w="0" w:type="dxa"/>
              <w:right w:w="10" w:type="dxa"/>
            </w:tcMar>
            <w:vAlign w:val="bottom"/>
          </w:tcPr>
          <w:p w:rsidR="009571F6" w:rsidRDefault="009571F6" w:rsidP="009571F6">
            <w:pPr>
              <w:pStyle w:val="Gridtext"/>
              <w:rPr>
                <w:color w:val="000000"/>
              </w:rPr>
            </w:pPr>
            <w:r>
              <w:rPr>
                <w:color w:val="000000"/>
              </w:rPr>
              <w:t>Role of EITF</w:t>
            </w:r>
          </w:p>
        </w:tc>
        <w:tc>
          <w:tcPr>
            <w:tcW w:w="288" w:type="dxa"/>
            <w:shd w:val="clear" w:color="auto" w:fill="auto"/>
            <w:tcMar>
              <w:top w:w="10" w:type="dxa"/>
              <w:left w:w="10" w:type="dxa"/>
              <w:bottom w:w="0" w:type="dxa"/>
              <w:right w:w="10" w:type="dxa"/>
            </w:tcMar>
            <w:vAlign w:val="bottom"/>
          </w:tcPr>
          <w:p w:rsidR="009571F6" w:rsidRDefault="009571F6" w:rsidP="009571F6">
            <w:pPr>
              <w:pStyle w:val="Gridtext"/>
              <w:jc w:val="center"/>
              <w:rPr>
                <w:color w:val="000000"/>
              </w:rPr>
            </w:pPr>
            <w:r>
              <w:rPr>
                <w:color w:val="000000"/>
              </w:rPr>
              <w:t>3</w:t>
            </w:r>
          </w:p>
        </w:tc>
        <w:tc>
          <w:tcPr>
            <w:tcW w:w="717" w:type="dxa"/>
            <w:shd w:val="clear" w:color="auto" w:fill="auto"/>
            <w:noWrap/>
            <w:tcMar>
              <w:top w:w="10" w:type="dxa"/>
              <w:left w:w="10" w:type="dxa"/>
              <w:bottom w:w="0" w:type="dxa"/>
              <w:right w:w="10" w:type="dxa"/>
            </w:tcMar>
            <w:vAlign w:val="bottom"/>
          </w:tcPr>
          <w:p w:rsidR="009571F6" w:rsidRPr="000B4B45" w:rsidRDefault="009571F6" w:rsidP="009571F6">
            <w:pPr>
              <w:pStyle w:val="Gridtext"/>
            </w:pPr>
          </w:p>
        </w:tc>
        <w:tc>
          <w:tcPr>
            <w:tcW w:w="1252" w:type="dxa"/>
            <w:shd w:val="clear" w:color="auto" w:fill="auto"/>
            <w:noWrap/>
            <w:tcMar>
              <w:top w:w="10" w:type="dxa"/>
              <w:left w:w="10" w:type="dxa"/>
              <w:bottom w:w="0" w:type="dxa"/>
              <w:right w:w="10" w:type="dxa"/>
            </w:tcMar>
            <w:vAlign w:val="bottom"/>
          </w:tcPr>
          <w:p w:rsidR="009571F6" w:rsidRPr="000B4B45" w:rsidRDefault="009571F6" w:rsidP="009571F6">
            <w:pPr>
              <w:pStyle w:val="Gridtext"/>
            </w:pPr>
            <w:r>
              <w:rPr>
                <w:color w:val="000000"/>
              </w:rPr>
              <w:t>Easy</w:t>
            </w:r>
          </w:p>
        </w:tc>
        <w:tc>
          <w:tcPr>
            <w:tcW w:w="431" w:type="dxa"/>
            <w:shd w:val="clear" w:color="auto" w:fill="auto"/>
            <w:noWrap/>
            <w:tcMar>
              <w:top w:w="10" w:type="dxa"/>
              <w:left w:w="10" w:type="dxa"/>
              <w:bottom w:w="0" w:type="dxa"/>
              <w:right w:w="10" w:type="dxa"/>
            </w:tcMar>
            <w:vAlign w:val="bottom"/>
          </w:tcPr>
          <w:p w:rsidR="009571F6" w:rsidRPr="000B4B45" w:rsidRDefault="009571F6" w:rsidP="009571F6">
            <w:pPr>
              <w:pStyle w:val="Gridtext"/>
              <w:jc w:val="center"/>
            </w:pPr>
            <w:r>
              <w:rPr>
                <w:color w:val="000000"/>
              </w:rPr>
              <w:t>5</w:t>
            </w:r>
          </w:p>
        </w:tc>
        <w:tc>
          <w:tcPr>
            <w:tcW w:w="1288" w:type="dxa"/>
            <w:shd w:val="clear" w:color="auto" w:fill="auto"/>
            <w:noWrap/>
            <w:tcMar>
              <w:top w:w="10" w:type="dxa"/>
              <w:left w:w="10" w:type="dxa"/>
              <w:bottom w:w="0" w:type="dxa"/>
              <w:right w:w="10" w:type="dxa"/>
            </w:tcMar>
            <w:vAlign w:val="bottom"/>
          </w:tcPr>
          <w:p w:rsidR="009571F6" w:rsidRPr="000B4B45" w:rsidRDefault="009571F6" w:rsidP="009571F6">
            <w:pPr>
              <w:pStyle w:val="Gridtext"/>
            </w:pPr>
            <w:r>
              <w:rPr>
                <w:color w:val="000000"/>
              </w:rPr>
              <w:t>Analytic</w:t>
            </w:r>
          </w:p>
        </w:tc>
        <w:tc>
          <w:tcPr>
            <w:tcW w:w="1432" w:type="dxa"/>
            <w:shd w:val="clear" w:color="auto" w:fill="auto"/>
            <w:noWrap/>
            <w:tcMar>
              <w:top w:w="10" w:type="dxa"/>
              <w:left w:w="10" w:type="dxa"/>
              <w:bottom w:w="0" w:type="dxa"/>
              <w:right w:w="10" w:type="dxa"/>
            </w:tcMar>
            <w:vAlign w:val="bottom"/>
          </w:tcPr>
          <w:p w:rsidR="009571F6" w:rsidRPr="000B4B45" w:rsidRDefault="009571F6" w:rsidP="009571F6">
            <w:pPr>
              <w:pStyle w:val="Gridtext"/>
            </w:pPr>
            <w:r>
              <w:rPr>
                <w:color w:val="000000"/>
              </w:rPr>
              <w:t>Measurement</w:t>
            </w:r>
          </w:p>
        </w:tc>
        <w:tc>
          <w:tcPr>
            <w:tcW w:w="1575" w:type="dxa"/>
            <w:shd w:val="clear" w:color="auto" w:fill="auto"/>
            <w:noWrap/>
            <w:tcMar>
              <w:top w:w="10" w:type="dxa"/>
              <w:left w:w="10" w:type="dxa"/>
              <w:bottom w:w="0" w:type="dxa"/>
              <w:right w:w="10" w:type="dxa"/>
            </w:tcMar>
            <w:vAlign w:val="bottom"/>
          </w:tcPr>
          <w:p w:rsidR="009571F6" w:rsidRDefault="009571F6" w:rsidP="009571F6">
            <w:pPr>
              <w:pStyle w:val="Gridtext"/>
              <w:rPr>
                <w:color w:val="000000"/>
              </w:rPr>
            </w:pPr>
            <w:r>
              <w:rPr>
                <w:color w:val="000000"/>
              </w:rPr>
              <w:t>Comprehension</w:t>
            </w:r>
          </w:p>
        </w:tc>
      </w:tr>
      <w:tr w:rsidR="009571F6" w:rsidRPr="000B4B45" w:rsidTr="009571F6">
        <w:trPr>
          <w:trHeight w:val="300"/>
        </w:trPr>
        <w:tc>
          <w:tcPr>
            <w:tcW w:w="825" w:type="dxa"/>
            <w:shd w:val="clear" w:color="auto" w:fill="auto"/>
            <w:noWrap/>
            <w:tcMar>
              <w:top w:w="10" w:type="dxa"/>
              <w:left w:w="10" w:type="dxa"/>
              <w:bottom w:w="0" w:type="dxa"/>
              <w:right w:w="10" w:type="dxa"/>
            </w:tcMar>
            <w:vAlign w:val="bottom"/>
            <w:hideMark/>
          </w:tcPr>
          <w:p w:rsidR="009571F6" w:rsidRPr="000B4B45" w:rsidRDefault="009571F6" w:rsidP="009571F6">
            <w:pPr>
              <w:pStyle w:val="Gridtext"/>
            </w:pPr>
            <w:r w:rsidRPr="000B4B45">
              <w:t>1</w:t>
            </w:r>
            <w:r>
              <w:t>-12</w:t>
            </w:r>
            <w:r>
              <w:br/>
            </w:r>
          </w:p>
        </w:tc>
        <w:tc>
          <w:tcPr>
            <w:tcW w:w="2146" w:type="dxa"/>
            <w:shd w:val="clear" w:color="auto" w:fill="auto"/>
            <w:tcMar>
              <w:top w:w="10" w:type="dxa"/>
              <w:left w:w="10" w:type="dxa"/>
              <w:bottom w:w="0" w:type="dxa"/>
              <w:right w:w="10" w:type="dxa"/>
            </w:tcMar>
            <w:vAlign w:val="bottom"/>
            <w:hideMark/>
          </w:tcPr>
          <w:p w:rsidR="009571F6" w:rsidRDefault="009571F6" w:rsidP="007435AB">
            <w:pPr>
              <w:pStyle w:val="Gridtext"/>
              <w:rPr>
                <w:color w:val="000000"/>
              </w:rPr>
            </w:pPr>
            <w:r>
              <w:rPr>
                <w:color w:val="000000"/>
              </w:rPr>
              <w:t>Standard Setting</w:t>
            </w:r>
            <w:r>
              <w:rPr>
                <w:color w:val="000000"/>
              </w:rPr>
              <w:br/>
            </w:r>
          </w:p>
        </w:tc>
        <w:tc>
          <w:tcPr>
            <w:tcW w:w="2862" w:type="dxa"/>
            <w:shd w:val="clear" w:color="auto" w:fill="auto"/>
            <w:tcMar>
              <w:top w:w="10" w:type="dxa"/>
              <w:left w:w="10" w:type="dxa"/>
              <w:bottom w:w="0" w:type="dxa"/>
              <w:right w:w="10" w:type="dxa"/>
            </w:tcMar>
            <w:vAlign w:val="bottom"/>
            <w:hideMark/>
          </w:tcPr>
          <w:p w:rsidR="009571F6" w:rsidRDefault="009571F6" w:rsidP="007435AB">
            <w:pPr>
              <w:pStyle w:val="Gridtext"/>
              <w:rPr>
                <w:color w:val="000000"/>
              </w:rPr>
            </w:pPr>
            <w:r>
              <w:rPr>
                <w:color w:val="000000"/>
              </w:rPr>
              <w:t>FASB Accounting Standards Codification</w:t>
            </w:r>
          </w:p>
        </w:tc>
        <w:tc>
          <w:tcPr>
            <w:tcW w:w="288" w:type="dxa"/>
            <w:shd w:val="clear" w:color="auto" w:fill="auto"/>
            <w:tcMar>
              <w:top w:w="10" w:type="dxa"/>
              <w:left w:w="10" w:type="dxa"/>
              <w:bottom w:w="0" w:type="dxa"/>
              <w:right w:w="10" w:type="dxa"/>
            </w:tcMar>
            <w:vAlign w:val="bottom"/>
            <w:hideMark/>
          </w:tcPr>
          <w:p w:rsidR="009571F6" w:rsidRDefault="009571F6" w:rsidP="00A415D1">
            <w:pPr>
              <w:pStyle w:val="Gridtext"/>
              <w:jc w:val="center"/>
              <w:rPr>
                <w:color w:val="000000"/>
              </w:rPr>
            </w:pPr>
            <w:r>
              <w:rPr>
                <w:color w:val="000000"/>
              </w:rPr>
              <w:t>4</w:t>
            </w:r>
            <w:r>
              <w:rPr>
                <w:color w:val="000000"/>
              </w:rPr>
              <w:br/>
            </w:r>
          </w:p>
        </w:tc>
        <w:tc>
          <w:tcPr>
            <w:tcW w:w="717" w:type="dxa"/>
            <w:shd w:val="clear" w:color="auto" w:fill="auto"/>
            <w:noWrap/>
            <w:tcMar>
              <w:top w:w="10" w:type="dxa"/>
              <w:left w:w="10" w:type="dxa"/>
              <w:bottom w:w="0" w:type="dxa"/>
              <w:right w:w="10" w:type="dxa"/>
            </w:tcMar>
            <w:vAlign w:val="bottom"/>
            <w:hideMark/>
          </w:tcPr>
          <w:p w:rsidR="009571F6" w:rsidRPr="000B4B45" w:rsidRDefault="009571F6" w:rsidP="00B91A3B">
            <w:pPr>
              <w:pStyle w:val="Gridtext"/>
            </w:pPr>
          </w:p>
        </w:tc>
        <w:tc>
          <w:tcPr>
            <w:tcW w:w="1252" w:type="dxa"/>
            <w:shd w:val="clear" w:color="auto" w:fill="auto"/>
            <w:noWrap/>
            <w:tcMar>
              <w:top w:w="10" w:type="dxa"/>
              <w:left w:w="10" w:type="dxa"/>
              <w:bottom w:w="0" w:type="dxa"/>
              <w:right w:w="10" w:type="dxa"/>
            </w:tcMar>
            <w:vAlign w:val="bottom"/>
            <w:hideMark/>
          </w:tcPr>
          <w:p w:rsidR="009571F6" w:rsidRDefault="009571F6" w:rsidP="00B91A3B">
            <w:pPr>
              <w:pStyle w:val="Gridtext"/>
              <w:rPr>
                <w:color w:val="000000"/>
              </w:rPr>
            </w:pPr>
            <w:r>
              <w:rPr>
                <w:color w:val="000000"/>
              </w:rPr>
              <w:t>Easy</w:t>
            </w:r>
            <w:r>
              <w:rPr>
                <w:color w:val="000000"/>
              </w:rPr>
              <w:br/>
            </w:r>
          </w:p>
        </w:tc>
        <w:tc>
          <w:tcPr>
            <w:tcW w:w="431" w:type="dxa"/>
            <w:shd w:val="clear" w:color="auto" w:fill="auto"/>
            <w:noWrap/>
            <w:tcMar>
              <w:top w:w="10" w:type="dxa"/>
              <w:left w:w="10" w:type="dxa"/>
              <w:bottom w:w="0" w:type="dxa"/>
              <w:right w:w="10" w:type="dxa"/>
            </w:tcMar>
            <w:vAlign w:val="bottom"/>
            <w:hideMark/>
          </w:tcPr>
          <w:p w:rsidR="009571F6" w:rsidRDefault="009571F6" w:rsidP="00A415D1">
            <w:pPr>
              <w:pStyle w:val="Gridtext"/>
              <w:jc w:val="center"/>
              <w:rPr>
                <w:color w:val="000000"/>
              </w:rPr>
            </w:pPr>
            <w:r>
              <w:rPr>
                <w:color w:val="000000"/>
              </w:rPr>
              <w:t>5</w:t>
            </w:r>
            <w:r>
              <w:rPr>
                <w:color w:val="000000"/>
              </w:rPr>
              <w:br/>
            </w:r>
          </w:p>
        </w:tc>
        <w:tc>
          <w:tcPr>
            <w:tcW w:w="1288" w:type="dxa"/>
            <w:shd w:val="clear" w:color="auto" w:fill="auto"/>
            <w:noWrap/>
            <w:tcMar>
              <w:top w:w="10" w:type="dxa"/>
              <w:left w:w="10" w:type="dxa"/>
              <w:bottom w:w="0" w:type="dxa"/>
              <w:right w:w="10" w:type="dxa"/>
            </w:tcMar>
            <w:vAlign w:val="bottom"/>
            <w:hideMark/>
          </w:tcPr>
          <w:p w:rsidR="009571F6" w:rsidRDefault="009571F6" w:rsidP="00B91A3B">
            <w:pPr>
              <w:pStyle w:val="Gridtext"/>
              <w:rPr>
                <w:color w:val="000000"/>
              </w:rPr>
            </w:pPr>
            <w:r>
              <w:rPr>
                <w:color w:val="000000"/>
              </w:rPr>
              <w:t>Analytic</w:t>
            </w:r>
            <w:r>
              <w:rPr>
                <w:color w:val="000000"/>
              </w:rPr>
              <w:br/>
            </w:r>
          </w:p>
        </w:tc>
        <w:tc>
          <w:tcPr>
            <w:tcW w:w="1432" w:type="dxa"/>
            <w:shd w:val="clear" w:color="auto" w:fill="auto"/>
            <w:noWrap/>
            <w:tcMar>
              <w:top w:w="10" w:type="dxa"/>
              <w:left w:w="10" w:type="dxa"/>
              <w:bottom w:w="0" w:type="dxa"/>
              <w:right w:w="10" w:type="dxa"/>
            </w:tcMar>
            <w:vAlign w:val="bottom"/>
            <w:hideMark/>
          </w:tcPr>
          <w:p w:rsidR="009571F6" w:rsidRDefault="009571F6" w:rsidP="00B91A3B">
            <w:pPr>
              <w:pStyle w:val="Gridtext"/>
              <w:rPr>
                <w:color w:val="000000"/>
              </w:rPr>
            </w:pPr>
            <w:r>
              <w:rPr>
                <w:color w:val="000000"/>
              </w:rPr>
              <w:t>Measurement</w:t>
            </w:r>
            <w:r>
              <w:rPr>
                <w:color w:val="000000"/>
              </w:rPr>
              <w:br/>
            </w:r>
          </w:p>
        </w:tc>
        <w:tc>
          <w:tcPr>
            <w:tcW w:w="1575" w:type="dxa"/>
            <w:shd w:val="clear" w:color="auto" w:fill="auto"/>
            <w:noWrap/>
            <w:tcMar>
              <w:top w:w="10" w:type="dxa"/>
              <w:left w:w="10" w:type="dxa"/>
              <w:bottom w:w="0" w:type="dxa"/>
              <w:right w:w="10" w:type="dxa"/>
            </w:tcMar>
            <w:vAlign w:val="bottom"/>
            <w:hideMark/>
          </w:tcPr>
          <w:p w:rsidR="009571F6" w:rsidRDefault="009571F6" w:rsidP="00B91A3B">
            <w:pPr>
              <w:pStyle w:val="Gridtext"/>
              <w:rPr>
                <w:color w:val="000000"/>
              </w:rPr>
            </w:pPr>
            <w:r>
              <w:rPr>
                <w:color w:val="000000"/>
              </w:rPr>
              <w:t>Application</w:t>
            </w:r>
            <w:r>
              <w:rPr>
                <w:color w:val="000000"/>
              </w:rPr>
              <w:br/>
            </w:r>
          </w:p>
        </w:tc>
      </w:tr>
    </w:tbl>
    <w:p w:rsidR="009F5941" w:rsidRDefault="009F5941">
      <w:r>
        <w:rPr>
          <w:b/>
          <w:smallCaps/>
        </w:rPr>
        <w:br w:type="page"/>
      </w:r>
    </w:p>
    <w:tbl>
      <w:tblPr>
        <w:tblW w:w="12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825"/>
        <w:gridCol w:w="2146"/>
        <w:gridCol w:w="2862"/>
        <w:gridCol w:w="288"/>
        <w:gridCol w:w="717"/>
        <w:gridCol w:w="1252"/>
        <w:gridCol w:w="431"/>
        <w:gridCol w:w="1288"/>
        <w:gridCol w:w="1432"/>
        <w:gridCol w:w="1575"/>
      </w:tblGrid>
      <w:tr w:rsidR="009F5941" w:rsidRPr="00F06876" w:rsidTr="00892E6D">
        <w:trPr>
          <w:trHeight w:val="300"/>
        </w:trPr>
        <w:tc>
          <w:tcPr>
            <w:tcW w:w="825" w:type="dxa"/>
            <w:shd w:val="clear" w:color="auto" w:fill="auto"/>
            <w:noWrap/>
            <w:tcMar>
              <w:top w:w="10" w:type="dxa"/>
              <w:left w:w="10" w:type="dxa"/>
              <w:bottom w:w="0" w:type="dxa"/>
              <w:right w:w="10" w:type="dxa"/>
            </w:tcMar>
            <w:vAlign w:val="bottom"/>
            <w:hideMark/>
          </w:tcPr>
          <w:p w:rsidR="009F5941" w:rsidRPr="00F06876" w:rsidRDefault="009F5941" w:rsidP="00E4588E">
            <w:pPr>
              <w:pStyle w:val="Gridtextheads"/>
            </w:pPr>
            <w:r w:rsidRPr="00F06876">
              <w:lastRenderedPageBreak/>
              <w:t>Number</w:t>
            </w:r>
          </w:p>
        </w:tc>
        <w:tc>
          <w:tcPr>
            <w:tcW w:w="2146" w:type="dxa"/>
            <w:shd w:val="clear" w:color="auto" w:fill="auto"/>
            <w:tcMar>
              <w:top w:w="10" w:type="dxa"/>
              <w:left w:w="10" w:type="dxa"/>
              <w:bottom w:w="0" w:type="dxa"/>
              <w:right w:w="10" w:type="dxa"/>
            </w:tcMar>
            <w:vAlign w:val="bottom"/>
            <w:hideMark/>
          </w:tcPr>
          <w:p w:rsidR="009F5941" w:rsidRPr="00F06876" w:rsidRDefault="009F5941" w:rsidP="00E4588E">
            <w:pPr>
              <w:pStyle w:val="Gridtextheads"/>
            </w:pPr>
            <w:r w:rsidRPr="00F06876">
              <w:t>Topic</w:t>
            </w:r>
          </w:p>
        </w:tc>
        <w:tc>
          <w:tcPr>
            <w:tcW w:w="2862" w:type="dxa"/>
            <w:shd w:val="clear" w:color="auto" w:fill="auto"/>
            <w:tcMar>
              <w:top w:w="10" w:type="dxa"/>
              <w:left w:w="10" w:type="dxa"/>
              <w:bottom w:w="0" w:type="dxa"/>
              <w:right w:w="10" w:type="dxa"/>
            </w:tcMar>
            <w:vAlign w:val="bottom"/>
            <w:hideMark/>
          </w:tcPr>
          <w:p w:rsidR="009F5941" w:rsidRPr="00F06876" w:rsidRDefault="009F5941" w:rsidP="00E4588E">
            <w:pPr>
              <w:pStyle w:val="Gridtextheads"/>
            </w:pPr>
            <w:r w:rsidRPr="00F06876">
              <w:t>Content</w:t>
            </w:r>
          </w:p>
        </w:tc>
        <w:tc>
          <w:tcPr>
            <w:tcW w:w="288" w:type="dxa"/>
            <w:shd w:val="clear" w:color="auto" w:fill="auto"/>
            <w:tcMar>
              <w:top w:w="10" w:type="dxa"/>
              <w:left w:w="10" w:type="dxa"/>
              <w:bottom w:w="0" w:type="dxa"/>
              <w:right w:w="10" w:type="dxa"/>
            </w:tcMar>
            <w:vAlign w:val="bottom"/>
            <w:hideMark/>
          </w:tcPr>
          <w:p w:rsidR="009F5941" w:rsidRPr="00F06876" w:rsidRDefault="009F5941" w:rsidP="00A415D1">
            <w:pPr>
              <w:pStyle w:val="Gridtextheads"/>
            </w:pPr>
            <w:r w:rsidRPr="00F06876">
              <w:t>LO</w:t>
            </w:r>
          </w:p>
        </w:tc>
        <w:tc>
          <w:tcPr>
            <w:tcW w:w="717" w:type="dxa"/>
            <w:shd w:val="clear" w:color="auto" w:fill="auto"/>
            <w:noWrap/>
            <w:tcMar>
              <w:top w:w="10" w:type="dxa"/>
              <w:left w:w="10" w:type="dxa"/>
              <w:bottom w:w="0" w:type="dxa"/>
              <w:right w:w="10" w:type="dxa"/>
            </w:tcMar>
            <w:vAlign w:val="bottom"/>
            <w:hideMark/>
          </w:tcPr>
          <w:p w:rsidR="009F5941" w:rsidRPr="00F06876" w:rsidRDefault="009F5941" w:rsidP="00E4588E">
            <w:pPr>
              <w:pStyle w:val="Gridtextheads"/>
            </w:pPr>
            <w:r w:rsidRPr="00F06876">
              <w:t>Adapted</w:t>
            </w:r>
          </w:p>
        </w:tc>
        <w:tc>
          <w:tcPr>
            <w:tcW w:w="1252" w:type="dxa"/>
            <w:shd w:val="clear" w:color="auto" w:fill="auto"/>
            <w:noWrap/>
            <w:tcMar>
              <w:top w:w="10" w:type="dxa"/>
              <w:left w:w="10" w:type="dxa"/>
              <w:bottom w:w="0" w:type="dxa"/>
              <w:right w:w="10" w:type="dxa"/>
            </w:tcMar>
            <w:vAlign w:val="bottom"/>
            <w:hideMark/>
          </w:tcPr>
          <w:p w:rsidR="009F5941" w:rsidRPr="00F06876" w:rsidRDefault="009F5941" w:rsidP="00E4588E">
            <w:pPr>
              <w:pStyle w:val="Gridtextheads"/>
            </w:pPr>
            <w:r w:rsidRPr="00F06876">
              <w:t>Difficulty</w:t>
            </w:r>
          </w:p>
        </w:tc>
        <w:tc>
          <w:tcPr>
            <w:tcW w:w="431" w:type="dxa"/>
            <w:shd w:val="clear" w:color="auto" w:fill="auto"/>
            <w:noWrap/>
            <w:tcMar>
              <w:top w:w="10" w:type="dxa"/>
              <w:left w:w="10" w:type="dxa"/>
              <w:bottom w:w="0" w:type="dxa"/>
              <w:right w:w="10" w:type="dxa"/>
            </w:tcMar>
            <w:vAlign w:val="bottom"/>
            <w:hideMark/>
          </w:tcPr>
          <w:p w:rsidR="009F5941" w:rsidRPr="00F06876" w:rsidRDefault="009F5941" w:rsidP="00A415D1">
            <w:pPr>
              <w:pStyle w:val="Gridtextheads"/>
            </w:pPr>
            <w:r w:rsidRPr="00F06876">
              <w:t>Time</w:t>
            </w:r>
            <w:r>
              <w:br/>
            </w:r>
            <w:r w:rsidRPr="00F06876">
              <w:t>Est</w:t>
            </w:r>
            <w:r>
              <w:t>.</w:t>
            </w:r>
          </w:p>
        </w:tc>
        <w:tc>
          <w:tcPr>
            <w:tcW w:w="1288" w:type="dxa"/>
            <w:shd w:val="clear" w:color="auto" w:fill="auto"/>
            <w:noWrap/>
            <w:tcMar>
              <w:top w:w="10" w:type="dxa"/>
              <w:left w:w="10" w:type="dxa"/>
              <w:bottom w:w="0" w:type="dxa"/>
              <w:right w:w="10" w:type="dxa"/>
            </w:tcMar>
            <w:vAlign w:val="bottom"/>
            <w:hideMark/>
          </w:tcPr>
          <w:p w:rsidR="009F5941" w:rsidRPr="00F06876" w:rsidRDefault="009F5941" w:rsidP="00E4588E">
            <w:pPr>
              <w:pStyle w:val="Gridtextheads"/>
            </w:pPr>
            <w:r w:rsidRPr="00F06876">
              <w:t>AACSB</w:t>
            </w:r>
          </w:p>
        </w:tc>
        <w:tc>
          <w:tcPr>
            <w:tcW w:w="1432" w:type="dxa"/>
            <w:shd w:val="clear" w:color="auto" w:fill="auto"/>
            <w:noWrap/>
            <w:tcMar>
              <w:top w:w="10" w:type="dxa"/>
              <w:left w:w="10" w:type="dxa"/>
              <w:bottom w:w="0" w:type="dxa"/>
              <w:right w:w="10" w:type="dxa"/>
            </w:tcMar>
            <w:vAlign w:val="bottom"/>
            <w:hideMark/>
          </w:tcPr>
          <w:p w:rsidR="009F5941" w:rsidRPr="00F06876" w:rsidRDefault="009F5941" w:rsidP="00E4588E">
            <w:pPr>
              <w:pStyle w:val="Gridtextheads"/>
            </w:pPr>
            <w:r w:rsidRPr="00F06876">
              <w:t>AICPA</w:t>
            </w:r>
          </w:p>
        </w:tc>
        <w:tc>
          <w:tcPr>
            <w:tcW w:w="1575" w:type="dxa"/>
            <w:shd w:val="clear" w:color="auto" w:fill="auto"/>
            <w:noWrap/>
            <w:tcMar>
              <w:top w:w="10" w:type="dxa"/>
              <w:left w:w="10" w:type="dxa"/>
              <w:bottom w:w="0" w:type="dxa"/>
              <w:right w:w="10" w:type="dxa"/>
            </w:tcMar>
            <w:vAlign w:val="bottom"/>
            <w:hideMark/>
          </w:tcPr>
          <w:p w:rsidR="009F5941" w:rsidRPr="00F06876" w:rsidRDefault="009F5941" w:rsidP="00E4588E">
            <w:pPr>
              <w:pStyle w:val="Gridtextheads"/>
            </w:pPr>
            <w:r w:rsidRPr="00F06876">
              <w:t>Bloom’s</w:t>
            </w:r>
          </w:p>
        </w:tc>
      </w:tr>
      <w:tr w:rsidR="00615B3D" w:rsidRPr="000B4B45" w:rsidTr="00892E6D">
        <w:trPr>
          <w:trHeight w:val="300"/>
        </w:trPr>
        <w:tc>
          <w:tcPr>
            <w:tcW w:w="825" w:type="dxa"/>
            <w:shd w:val="clear" w:color="auto" w:fill="auto"/>
            <w:noWrap/>
            <w:tcMar>
              <w:top w:w="10" w:type="dxa"/>
              <w:left w:w="10" w:type="dxa"/>
              <w:bottom w:w="0" w:type="dxa"/>
              <w:right w:w="10" w:type="dxa"/>
            </w:tcMar>
            <w:vAlign w:val="bottom"/>
            <w:hideMark/>
          </w:tcPr>
          <w:p w:rsidR="00615B3D" w:rsidRPr="000B4B45" w:rsidRDefault="00615B3D" w:rsidP="009571F6">
            <w:pPr>
              <w:pStyle w:val="Gridtext"/>
            </w:pPr>
            <w:r w:rsidRPr="000B4B45">
              <w:t>1</w:t>
            </w:r>
            <w:r>
              <w:t>-1</w:t>
            </w:r>
            <w:r w:rsidR="009571F6">
              <w:t>3</w:t>
            </w:r>
            <w:r w:rsidR="00892E6D">
              <w:br/>
            </w:r>
            <w:r w:rsidR="009F5941">
              <w:br/>
            </w:r>
          </w:p>
        </w:tc>
        <w:tc>
          <w:tcPr>
            <w:tcW w:w="2146" w:type="dxa"/>
            <w:shd w:val="clear" w:color="auto" w:fill="auto"/>
            <w:tcMar>
              <w:top w:w="10" w:type="dxa"/>
              <w:left w:w="10" w:type="dxa"/>
              <w:bottom w:w="0" w:type="dxa"/>
              <w:right w:w="10" w:type="dxa"/>
            </w:tcMar>
            <w:vAlign w:val="bottom"/>
            <w:hideMark/>
          </w:tcPr>
          <w:p w:rsidR="00615B3D" w:rsidRDefault="00615B3D" w:rsidP="007435AB">
            <w:pPr>
              <w:pStyle w:val="Gridtext"/>
              <w:rPr>
                <w:color w:val="000000"/>
              </w:rPr>
            </w:pPr>
            <w:r>
              <w:rPr>
                <w:color w:val="000000"/>
              </w:rPr>
              <w:t>Standard Setting</w:t>
            </w:r>
            <w:r w:rsidR="00892E6D">
              <w:rPr>
                <w:color w:val="000000"/>
              </w:rPr>
              <w:br/>
            </w:r>
            <w:r w:rsidR="009F5941">
              <w:rPr>
                <w:color w:val="000000"/>
              </w:rPr>
              <w:br/>
            </w:r>
          </w:p>
        </w:tc>
        <w:tc>
          <w:tcPr>
            <w:tcW w:w="2862" w:type="dxa"/>
            <w:shd w:val="clear" w:color="auto" w:fill="auto"/>
            <w:tcMar>
              <w:top w:w="10" w:type="dxa"/>
              <w:left w:w="10" w:type="dxa"/>
              <w:bottom w:w="0" w:type="dxa"/>
              <w:right w:w="10" w:type="dxa"/>
            </w:tcMar>
            <w:vAlign w:val="bottom"/>
            <w:hideMark/>
          </w:tcPr>
          <w:p w:rsidR="00615B3D" w:rsidRDefault="00615B3D" w:rsidP="00615B3D">
            <w:pPr>
              <w:pStyle w:val="Gridtext"/>
              <w:rPr>
                <w:color w:val="000000"/>
              </w:rPr>
            </w:pPr>
            <w:r>
              <w:rPr>
                <w:color w:val="000000"/>
              </w:rPr>
              <w:t>Process for issuing accounting standard update</w:t>
            </w:r>
          </w:p>
        </w:tc>
        <w:tc>
          <w:tcPr>
            <w:tcW w:w="288" w:type="dxa"/>
            <w:shd w:val="clear" w:color="auto" w:fill="auto"/>
            <w:tcMar>
              <w:top w:w="10" w:type="dxa"/>
              <w:left w:w="10" w:type="dxa"/>
              <w:bottom w:w="0" w:type="dxa"/>
              <w:right w:w="10" w:type="dxa"/>
            </w:tcMar>
            <w:vAlign w:val="bottom"/>
            <w:hideMark/>
          </w:tcPr>
          <w:p w:rsidR="00615B3D" w:rsidRDefault="00615B3D" w:rsidP="00A415D1">
            <w:pPr>
              <w:pStyle w:val="Gridtext"/>
              <w:jc w:val="center"/>
              <w:rPr>
                <w:color w:val="000000"/>
              </w:rPr>
            </w:pPr>
            <w:r>
              <w:rPr>
                <w:color w:val="000000"/>
              </w:rPr>
              <w:t>4</w:t>
            </w:r>
            <w:r w:rsidR="00892E6D">
              <w:rPr>
                <w:color w:val="000000"/>
              </w:rPr>
              <w:br/>
            </w:r>
            <w:r w:rsidR="009F5941">
              <w:rPr>
                <w:color w:val="000000"/>
              </w:rPr>
              <w:br/>
            </w:r>
          </w:p>
        </w:tc>
        <w:tc>
          <w:tcPr>
            <w:tcW w:w="717" w:type="dxa"/>
            <w:shd w:val="clear" w:color="auto" w:fill="auto"/>
            <w:noWrap/>
            <w:tcMar>
              <w:top w:w="10" w:type="dxa"/>
              <w:left w:w="10" w:type="dxa"/>
              <w:bottom w:w="0" w:type="dxa"/>
              <w:right w:w="10" w:type="dxa"/>
            </w:tcMar>
            <w:vAlign w:val="bottom"/>
            <w:hideMark/>
          </w:tcPr>
          <w:p w:rsidR="00615B3D" w:rsidRPr="000B4B45" w:rsidRDefault="00615B3D" w:rsidP="00B91A3B">
            <w:pPr>
              <w:pStyle w:val="Gridtext"/>
            </w:pPr>
          </w:p>
        </w:tc>
        <w:tc>
          <w:tcPr>
            <w:tcW w:w="1252"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Easy</w:t>
            </w:r>
            <w:r w:rsidR="00892E6D">
              <w:rPr>
                <w:color w:val="000000"/>
              </w:rPr>
              <w:br/>
            </w:r>
            <w:r w:rsidR="009F5941">
              <w:rPr>
                <w:color w:val="000000"/>
              </w:rPr>
              <w:br/>
            </w:r>
          </w:p>
        </w:tc>
        <w:tc>
          <w:tcPr>
            <w:tcW w:w="431" w:type="dxa"/>
            <w:shd w:val="clear" w:color="auto" w:fill="auto"/>
            <w:noWrap/>
            <w:tcMar>
              <w:top w:w="10" w:type="dxa"/>
              <w:left w:w="10" w:type="dxa"/>
              <w:bottom w:w="0" w:type="dxa"/>
              <w:right w:w="10" w:type="dxa"/>
            </w:tcMar>
            <w:vAlign w:val="bottom"/>
            <w:hideMark/>
          </w:tcPr>
          <w:p w:rsidR="00615B3D" w:rsidRDefault="00615B3D" w:rsidP="00A415D1">
            <w:pPr>
              <w:pStyle w:val="Gridtext"/>
              <w:jc w:val="center"/>
              <w:rPr>
                <w:color w:val="000000"/>
              </w:rPr>
            </w:pPr>
            <w:r>
              <w:rPr>
                <w:color w:val="000000"/>
              </w:rPr>
              <w:t>5</w:t>
            </w:r>
            <w:r w:rsidR="00892E6D">
              <w:rPr>
                <w:color w:val="000000"/>
              </w:rPr>
              <w:br/>
            </w:r>
            <w:r w:rsidR="009F5941">
              <w:rPr>
                <w:color w:val="000000"/>
              </w:rPr>
              <w:br/>
            </w:r>
          </w:p>
        </w:tc>
        <w:tc>
          <w:tcPr>
            <w:tcW w:w="1288"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Analytic</w:t>
            </w:r>
            <w:r w:rsidR="00892E6D">
              <w:rPr>
                <w:color w:val="000000"/>
              </w:rPr>
              <w:br/>
            </w:r>
            <w:r w:rsidR="009F5941">
              <w:rPr>
                <w:color w:val="000000"/>
              </w:rPr>
              <w:br/>
            </w:r>
          </w:p>
        </w:tc>
        <w:tc>
          <w:tcPr>
            <w:tcW w:w="1432"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Measurement</w:t>
            </w:r>
            <w:r w:rsidR="00892E6D">
              <w:rPr>
                <w:color w:val="000000"/>
              </w:rPr>
              <w:br/>
            </w:r>
            <w:r w:rsidR="009F5941">
              <w:rPr>
                <w:color w:val="000000"/>
              </w:rPr>
              <w:br/>
            </w:r>
          </w:p>
        </w:tc>
        <w:tc>
          <w:tcPr>
            <w:tcW w:w="1575"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Comprehension</w:t>
            </w:r>
            <w:r w:rsidR="00892E6D">
              <w:rPr>
                <w:color w:val="000000"/>
              </w:rPr>
              <w:br/>
            </w:r>
            <w:r w:rsidR="009F5941">
              <w:rPr>
                <w:color w:val="000000"/>
              </w:rPr>
              <w:br/>
            </w:r>
          </w:p>
        </w:tc>
      </w:tr>
      <w:tr w:rsidR="00615B3D" w:rsidRPr="000B4B45" w:rsidTr="00892E6D">
        <w:trPr>
          <w:trHeight w:val="300"/>
        </w:trPr>
        <w:tc>
          <w:tcPr>
            <w:tcW w:w="825" w:type="dxa"/>
            <w:shd w:val="clear" w:color="auto" w:fill="auto"/>
            <w:noWrap/>
            <w:tcMar>
              <w:top w:w="10" w:type="dxa"/>
              <w:left w:w="10" w:type="dxa"/>
              <w:bottom w:w="0" w:type="dxa"/>
              <w:right w:w="10" w:type="dxa"/>
            </w:tcMar>
            <w:vAlign w:val="bottom"/>
            <w:hideMark/>
          </w:tcPr>
          <w:p w:rsidR="00615B3D" w:rsidRPr="000B4B45" w:rsidRDefault="00615B3D" w:rsidP="00B91A3B">
            <w:pPr>
              <w:pStyle w:val="Gridtext"/>
            </w:pPr>
            <w:r w:rsidRPr="000B4B45">
              <w:t>1</w:t>
            </w:r>
            <w:r w:rsidR="009571F6">
              <w:t>-14</w:t>
            </w:r>
          </w:p>
        </w:tc>
        <w:tc>
          <w:tcPr>
            <w:tcW w:w="2146" w:type="dxa"/>
            <w:shd w:val="clear" w:color="auto" w:fill="auto"/>
            <w:tcMar>
              <w:top w:w="10" w:type="dxa"/>
              <w:left w:w="10" w:type="dxa"/>
              <w:bottom w:w="0" w:type="dxa"/>
              <w:right w:w="10" w:type="dxa"/>
            </w:tcMar>
            <w:vAlign w:val="bottom"/>
            <w:hideMark/>
          </w:tcPr>
          <w:p w:rsidR="00615B3D" w:rsidRDefault="00615B3D" w:rsidP="007435AB">
            <w:pPr>
              <w:pStyle w:val="Gridtext"/>
              <w:rPr>
                <w:color w:val="000000"/>
              </w:rPr>
            </w:pPr>
            <w:r>
              <w:rPr>
                <w:color w:val="000000"/>
              </w:rPr>
              <w:t>Standard Setting</w:t>
            </w:r>
          </w:p>
        </w:tc>
        <w:tc>
          <w:tcPr>
            <w:tcW w:w="2862" w:type="dxa"/>
            <w:shd w:val="clear" w:color="auto" w:fill="auto"/>
            <w:tcMar>
              <w:top w:w="10" w:type="dxa"/>
              <w:left w:w="10" w:type="dxa"/>
              <w:bottom w:w="0" w:type="dxa"/>
              <w:right w:w="10" w:type="dxa"/>
            </w:tcMar>
            <w:vAlign w:val="bottom"/>
            <w:hideMark/>
          </w:tcPr>
          <w:p w:rsidR="00615B3D" w:rsidRDefault="00615B3D" w:rsidP="00615B3D">
            <w:pPr>
              <w:pStyle w:val="Gridtext"/>
              <w:rPr>
                <w:color w:val="000000"/>
              </w:rPr>
            </w:pPr>
            <w:r>
              <w:rPr>
                <w:color w:val="000000"/>
              </w:rPr>
              <w:t>FASB; IASB</w:t>
            </w:r>
          </w:p>
        </w:tc>
        <w:tc>
          <w:tcPr>
            <w:tcW w:w="288" w:type="dxa"/>
            <w:shd w:val="clear" w:color="auto" w:fill="auto"/>
            <w:tcMar>
              <w:top w:w="10" w:type="dxa"/>
              <w:left w:w="10" w:type="dxa"/>
              <w:bottom w:w="0" w:type="dxa"/>
              <w:right w:w="10" w:type="dxa"/>
            </w:tcMar>
            <w:vAlign w:val="bottom"/>
            <w:hideMark/>
          </w:tcPr>
          <w:p w:rsidR="00615B3D" w:rsidRDefault="00BA7C49" w:rsidP="00A415D1">
            <w:pPr>
              <w:pStyle w:val="Gridtext"/>
              <w:jc w:val="center"/>
              <w:rPr>
                <w:color w:val="000000"/>
              </w:rPr>
            </w:pPr>
            <w:r>
              <w:rPr>
                <w:color w:val="000000"/>
              </w:rPr>
              <w:t>5</w:t>
            </w:r>
          </w:p>
        </w:tc>
        <w:tc>
          <w:tcPr>
            <w:tcW w:w="717" w:type="dxa"/>
            <w:shd w:val="clear" w:color="auto" w:fill="auto"/>
            <w:noWrap/>
            <w:tcMar>
              <w:top w:w="10" w:type="dxa"/>
              <w:left w:w="10" w:type="dxa"/>
              <w:bottom w:w="0" w:type="dxa"/>
              <w:right w:w="10" w:type="dxa"/>
            </w:tcMar>
            <w:vAlign w:val="bottom"/>
            <w:hideMark/>
          </w:tcPr>
          <w:p w:rsidR="00615B3D" w:rsidRPr="000B4B45" w:rsidRDefault="00615B3D" w:rsidP="00B91A3B">
            <w:pPr>
              <w:pStyle w:val="Gridtext"/>
            </w:pPr>
          </w:p>
        </w:tc>
        <w:tc>
          <w:tcPr>
            <w:tcW w:w="1252"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Easy</w:t>
            </w:r>
          </w:p>
        </w:tc>
        <w:tc>
          <w:tcPr>
            <w:tcW w:w="431" w:type="dxa"/>
            <w:shd w:val="clear" w:color="auto" w:fill="auto"/>
            <w:noWrap/>
            <w:tcMar>
              <w:top w:w="10" w:type="dxa"/>
              <w:left w:w="10" w:type="dxa"/>
              <w:bottom w:w="0" w:type="dxa"/>
              <w:right w:w="10" w:type="dxa"/>
            </w:tcMar>
            <w:vAlign w:val="bottom"/>
            <w:hideMark/>
          </w:tcPr>
          <w:p w:rsidR="00615B3D" w:rsidRDefault="00615B3D" w:rsidP="00A415D1">
            <w:pPr>
              <w:pStyle w:val="Gridtext"/>
              <w:jc w:val="center"/>
              <w:rPr>
                <w:color w:val="000000"/>
              </w:rPr>
            </w:pPr>
            <w:r>
              <w:rPr>
                <w:color w:val="000000"/>
              </w:rPr>
              <w:t>5</w:t>
            </w:r>
          </w:p>
        </w:tc>
        <w:tc>
          <w:tcPr>
            <w:tcW w:w="1288"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Analytic</w:t>
            </w:r>
          </w:p>
        </w:tc>
        <w:tc>
          <w:tcPr>
            <w:tcW w:w="1432"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Measurement</w:t>
            </w:r>
          </w:p>
        </w:tc>
        <w:tc>
          <w:tcPr>
            <w:tcW w:w="1575"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Analysis</w:t>
            </w:r>
          </w:p>
        </w:tc>
      </w:tr>
      <w:tr w:rsidR="00615B3D" w:rsidRPr="000B4B45" w:rsidTr="00892E6D">
        <w:trPr>
          <w:trHeight w:val="300"/>
        </w:trPr>
        <w:tc>
          <w:tcPr>
            <w:tcW w:w="825" w:type="dxa"/>
            <w:shd w:val="clear" w:color="auto" w:fill="auto"/>
            <w:noWrap/>
            <w:tcMar>
              <w:top w:w="10" w:type="dxa"/>
              <w:left w:w="10" w:type="dxa"/>
              <w:bottom w:w="0" w:type="dxa"/>
              <w:right w:w="10" w:type="dxa"/>
            </w:tcMar>
            <w:vAlign w:val="bottom"/>
            <w:hideMark/>
          </w:tcPr>
          <w:p w:rsidR="00615B3D" w:rsidRPr="000B4B45" w:rsidRDefault="00615B3D" w:rsidP="00B91A3B">
            <w:pPr>
              <w:pStyle w:val="Gridtext"/>
            </w:pPr>
            <w:r w:rsidRPr="000B4B45">
              <w:t>1</w:t>
            </w:r>
            <w:r w:rsidR="009571F6">
              <w:t>-15</w:t>
            </w:r>
          </w:p>
        </w:tc>
        <w:tc>
          <w:tcPr>
            <w:tcW w:w="2146" w:type="dxa"/>
            <w:shd w:val="clear" w:color="auto" w:fill="auto"/>
            <w:tcMar>
              <w:top w:w="10" w:type="dxa"/>
              <w:left w:w="10" w:type="dxa"/>
              <w:bottom w:w="0" w:type="dxa"/>
              <w:right w:w="10" w:type="dxa"/>
            </w:tcMar>
            <w:vAlign w:val="bottom"/>
            <w:hideMark/>
          </w:tcPr>
          <w:p w:rsidR="00615B3D" w:rsidRDefault="00615B3D" w:rsidP="007435AB">
            <w:pPr>
              <w:pStyle w:val="Gridtext"/>
              <w:rPr>
                <w:color w:val="000000"/>
              </w:rPr>
            </w:pPr>
            <w:r>
              <w:rPr>
                <w:color w:val="000000"/>
              </w:rPr>
              <w:t>Standard Setting</w:t>
            </w:r>
          </w:p>
        </w:tc>
        <w:tc>
          <w:tcPr>
            <w:tcW w:w="2862" w:type="dxa"/>
            <w:shd w:val="clear" w:color="auto" w:fill="auto"/>
            <w:tcMar>
              <w:top w:w="10" w:type="dxa"/>
              <w:left w:w="10" w:type="dxa"/>
              <w:bottom w:w="0" w:type="dxa"/>
              <w:right w:w="10" w:type="dxa"/>
            </w:tcMar>
            <w:vAlign w:val="bottom"/>
            <w:hideMark/>
          </w:tcPr>
          <w:p w:rsidR="00615B3D" w:rsidRDefault="00615B3D" w:rsidP="00AE6A64">
            <w:pPr>
              <w:pStyle w:val="Gridtext"/>
              <w:rPr>
                <w:color w:val="000000"/>
              </w:rPr>
            </w:pPr>
            <w:r>
              <w:rPr>
                <w:color w:val="000000"/>
              </w:rPr>
              <w:t>Definition of IFRS</w:t>
            </w:r>
          </w:p>
        </w:tc>
        <w:tc>
          <w:tcPr>
            <w:tcW w:w="288" w:type="dxa"/>
            <w:shd w:val="clear" w:color="auto" w:fill="auto"/>
            <w:tcMar>
              <w:top w:w="10" w:type="dxa"/>
              <w:left w:w="10" w:type="dxa"/>
              <w:bottom w:w="0" w:type="dxa"/>
              <w:right w:w="10" w:type="dxa"/>
            </w:tcMar>
            <w:vAlign w:val="bottom"/>
            <w:hideMark/>
          </w:tcPr>
          <w:p w:rsidR="00615B3D" w:rsidRDefault="00615B3D" w:rsidP="00A415D1">
            <w:pPr>
              <w:pStyle w:val="Gridtext"/>
              <w:jc w:val="center"/>
              <w:rPr>
                <w:color w:val="000000"/>
              </w:rPr>
            </w:pPr>
            <w:r>
              <w:rPr>
                <w:color w:val="000000"/>
              </w:rPr>
              <w:t>5</w:t>
            </w:r>
          </w:p>
        </w:tc>
        <w:tc>
          <w:tcPr>
            <w:tcW w:w="717" w:type="dxa"/>
            <w:shd w:val="clear" w:color="auto" w:fill="auto"/>
            <w:noWrap/>
            <w:tcMar>
              <w:top w:w="10" w:type="dxa"/>
              <w:left w:w="10" w:type="dxa"/>
              <w:bottom w:w="0" w:type="dxa"/>
              <w:right w:w="10" w:type="dxa"/>
            </w:tcMar>
            <w:vAlign w:val="bottom"/>
            <w:hideMark/>
          </w:tcPr>
          <w:p w:rsidR="00615B3D" w:rsidRPr="000B4B45" w:rsidRDefault="00615B3D" w:rsidP="00B91A3B">
            <w:pPr>
              <w:pStyle w:val="Gridtext"/>
            </w:pPr>
          </w:p>
        </w:tc>
        <w:tc>
          <w:tcPr>
            <w:tcW w:w="1252"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Easy</w:t>
            </w:r>
          </w:p>
        </w:tc>
        <w:tc>
          <w:tcPr>
            <w:tcW w:w="431" w:type="dxa"/>
            <w:shd w:val="clear" w:color="auto" w:fill="auto"/>
            <w:noWrap/>
            <w:tcMar>
              <w:top w:w="10" w:type="dxa"/>
              <w:left w:w="10" w:type="dxa"/>
              <w:bottom w:w="0" w:type="dxa"/>
              <w:right w:w="10" w:type="dxa"/>
            </w:tcMar>
            <w:vAlign w:val="bottom"/>
            <w:hideMark/>
          </w:tcPr>
          <w:p w:rsidR="00615B3D" w:rsidRDefault="00615B3D" w:rsidP="00A415D1">
            <w:pPr>
              <w:pStyle w:val="Gridtext"/>
              <w:jc w:val="center"/>
              <w:rPr>
                <w:color w:val="000000"/>
              </w:rPr>
            </w:pPr>
            <w:r>
              <w:rPr>
                <w:color w:val="000000"/>
              </w:rPr>
              <w:t>5</w:t>
            </w:r>
          </w:p>
        </w:tc>
        <w:tc>
          <w:tcPr>
            <w:tcW w:w="1288"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Analytic</w:t>
            </w:r>
          </w:p>
        </w:tc>
        <w:tc>
          <w:tcPr>
            <w:tcW w:w="1432"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Measurement</w:t>
            </w:r>
          </w:p>
        </w:tc>
        <w:tc>
          <w:tcPr>
            <w:tcW w:w="1575"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Application</w:t>
            </w:r>
          </w:p>
        </w:tc>
      </w:tr>
      <w:tr w:rsidR="00BA7C49" w:rsidRPr="000B4B45" w:rsidTr="005F59DE">
        <w:trPr>
          <w:trHeight w:val="300"/>
        </w:trPr>
        <w:tc>
          <w:tcPr>
            <w:tcW w:w="825" w:type="dxa"/>
            <w:shd w:val="clear" w:color="auto" w:fill="auto"/>
            <w:noWrap/>
            <w:tcMar>
              <w:top w:w="10" w:type="dxa"/>
              <w:left w:w="10" w:type="dxa"/>
              <w:bottom w:w="0" w:type="dxa"/>
              <w:right w:w="10" w:type="dxa"/>
            </w:tcMar>
            <w:vAlign w:val="bottom"/>
            <w:hideMark/>
          </w:tcPr>
          <w:p w:rsidR="00BA7C49" w:rsidRPr="000B4B45" w:rsidRDefault="00BA7C49" w:rsidP="005F59DE">
            <w:pPr>
              <w:pStyle w:val="Gridtext"/>
            </w:pPr>
            <w:r w:rsidRPr="000B4B45">
              <w:t>1</w:t>
            </w:r>
            <w:r>
              <w:t>-16</w:t>
            </w:r>
            <w:r w:rsidR="00340212">
              <w:br/>
            </w:r>
          </w:p>
        </w:tc>
        <w:tc>
          <w:tcPr>
            <w:tcW w:w="2146" w:type="dxa"/>
            <w:shd w:val="clear" w:color="auto" w:fill="auto"/>
            <w:tcMar>
              <w:top w:w="10" w:type="dxa"/>
              <w:left w:w="10" w:type="dxa"/>
              <w:bottom w:w="0" w:type="dxa"/>
              <w:right w:w="10" w:type="dxa"/>
            </w:tcMar>
            <w:vAlign w:val="bottom"/>
            <w:hideMark/>
          </w:tcPr>
          <w:p w:rsidR="00BA7C49" w:rsidRDefault="00BA7C49" w:rsidP="005F59DE">
            <w:pPr>
              <w:pStyle w:val="Gridtext"/>
              <w:rPr>
                <w:color w:val="000000"/>
              </w:rPr>
            </w:pPr>
            <w:r>
              <w:rPr>
                <w:color w:val="000000"/>
              </w:rPr>
              <w:t>Standard Setting</w:t>
            </w:r>
            <w:r>
              <w:rPr>
                <w:color w:val="000000"/>
              </w:rPr>
              <w:br/>
            </w:r>
          </w:p>
        </w:tc>
        <w:tc>
          <w:tcPr>
            <w:tcW w:w="2862" w:type="dxa"/>
            <w:shd w:val="clear" w:color="auto" w:fill="auto"/>
            <w:tcMar>
              <w:top w:w="10" w:type="dxa"/>
              <w:left w:w="10" w:type="dxa"/>
              <w:bottom w:w="0" w:type="dxa"/>
              <w:right w:w="10" w:type="dxa"/>
            </w:tcMar>
            <w:vAlign w:val="bottom"/>
            <w:hideMark/>
          </w:tcPr>
          <w:p w:rsidR="00BA7C49" w:rsidRDefault="00BA7C49" w:rsidP="005F59DE">
            <w:pPr>
              <w:pStyle w:val="Gridtext"/>
              <w:rPr>
                <w:color w:val="000000"/>
              </w:rPr>
            </w:pPr>
            <w:r>
              <w:rPr>
                <w:color w:val="000000"/>
              </w:rPr>
              <w:t>Changing standards over time; U.S. GAAP; IFRS</w:t>
            </w:r>
          </w:p>
        </w:tc>
        <w:tc>
          <w:tcPr>
            <w:tcW w:w="288" w:type="dxa"/>
            <w:shd w:val="clear" w:color="auto" w:fill="auto"/>
            <w:tcMar>
              <w:top w:w="10" w:type="dxa"/>
              <w:left w:w="10" w:type="dxa"/>
              <w:bottom w:w="0" w:type="dxa"/>
              <w:right w:w="10" w:type="dxa"/>
            </w:tcMar>
            <w:vAlign w:val="bottom"/>
            <w:hideMark/>
          </w:tcPr>
          <w:p w:rsidR="00BA7C49" w:rsidRDefault="00BA7C49" w:rsidP="005F59DE">
            <w:pPr>
              <w:pStyle w:val="Gridtext"/>
              <w:jc w:val="center"/>
              <w:rPr>
                <w:color w:val="000000"/>
              </w:rPr>
            </w:pPr>
            <w:r>
              <w:rPr>
                <w:color w:val="000000"/>
              </w:rPr>
              <w:t>5</w:t>
            </w:r>
            <w:r>
              <w:rPr>
                <w:color w:val="000000"/>
              </w:rPr>
              <w:br/>
            </w:r>
          </w:p>
        </w:tc>
        <w:tc>
          <w:tcPr>
            <w:tcW w:w="717" w:type="dxa"/>
            <w:shd w:val="clear" w:color="auto" w:fill="auto"/>
            <w:noWrap/>
            <w:tcMar>
              <w:top w:w="10" w:type="dxa"/>
              <w:left w:w="10" w:type="dxa"/>
              <w:bottom w:w="0" w:type="dxa"/>
              <w:right w:w="10" w:type="dxa"/>
            </w:tcMar>
            <w:vAlign w:val="bottom"/>
            <w:hideMark/>
          </w:tcPr>
          <w:p w:rsidR="00BA7C49" w:rsidRPr="000B4B45" w:rsidRDefault="00BA7C49" w:rsidP="005F59DE">
            <w:pPr>
              <w:pStyle w:val="Gridtext"/>
            </w:pPr>
          </w:p>
        </w:tc>
        <w:tc>
          <w:tcPr>
            <w:tcW w:w="1252" w:type="dxa"/>
            <w:shd w:val="clear" w:color="auto" w:fill="auto"/>
            <w:noWrap/>
            <w:tcMar>
              <w:top w:w="10" w:type="dxa"/>
              <w:left w:w="10" w:type="dxa"/>
              <w:bottom w:w="0" w:type="dxa"/>
              <w:right w:w="10" w:type="dxa"/>
            </w:tcMar>
            <w:vAlign w:val="bottom"/>
            <w:hideMark/>
          </w:tcPr>
          <w:p w:rsidR="00BA7C49" w:rsidRDefault="00BA7C49" w:rsidP="005F59DE">
            <w:pPr>
              <w:pStyle w:val="Gridtext"/>
              <w:rPr>
                <w:color w:val="000000"/>
              </w:rPr>
            </w:pPr>
            <w:r>
              <w:rPr>
                <w:color w:val="000000"/>
              </w:rPr>
              <w:t>Easy</w:t>
            </w:r>
            <w:r>
              <w:rPr>
                <w:color w:val="000000"/>
              </w:rPr>
              <w:br/>
            </w:r>
          </w:p>
        </w:tc>
        <w:tc>
          <w:tcPr>
            <w:tcW w:w="431" w:type="dxa"/>
            <w:shd w:val="clear" w:color="auto" w:fill="auto"/>
            <w:noWrap/>
            <w:tcMar>
              <w:top w:w="10" w:type="dxa"/>
              <w:left w:w="10" w:type="dxa"/>
              <w:bottom w:w="0" w:type="dxa"/>
              <w:right w:w="10" w:type="dxa"/>
            </w:tcMar>
            <w:vAlign w:val="bottom"/>
            <w:hideMark/>
          </w:tcPr>
          <w:p w:rsidR="00BA7C49" w:rsidRDefault="00BA7C49" w:rsidP="005F59DE">
            <w:pPr>
              <w:pStyle w:val="Gridtext"/>
              <w:jc w:val="center"/>
              <w:rPr>
                <w:color w:val="000000"/>
              </w:rPr>
            </w:pPr>
            <w:r>
              <w:rPr>
                <w:color w:val="000000"/>
              </w:rPr>
              <w:t>5</w:t>
            </w:r>
            <w:r>
              <w:rPr>
                <w:color w:val="000000"/>
              </w:rPr>
              <w:br/>
            </w:r>
          </w:p>
        </w:tc>
        <w:tc>
          <w:tcPr>
            <w:tcW w:w="1288" w:type="dxa"/>
            <w:shd w:val="clear" w:color="auto" w:fill="auto"/>
            <w:noWrap/>
            <w:tcMar>
              <w:top w:w="10" w:type="dxa"/>
              <w:left w:w="10" w:type="dxa"/>
              <w:bottom w:w="0" w:type="dxa"/>
              <w:right w:w="10" w:type="dxa"/>
            </w:tcMar>
            <w:vAlign w:val="bottom"/>
            <w:hideMark/>
          </w:tcPr>
          <w:p w:rsidR="00BA7C49" w:rsidRDefault="00BA7C49" w:rsidP="005F59DE">
            <w:pPr>
              <w:pStyle w:val="Gridtext"/>
              <w:rPr>
                <w:color w:val="000000"/>
              </w:rPr>
            </w:pPr>
            <w:r>
              <w:rPr>
                <w:color w:val="000000"/>
              </w:rPr>
              <w:t>Analytic</w:t>
            </w:r>
            <w:r>
              <w:rPr>
                <w:color w:val="000000"/>
              </w:rPr>
              <w:br/>
            </w:r>
          </w:p>
        </w:tc>
        <w:tc>
          <w:tcPr>
            <w:tcW w:w="1432" w:type="dxa"/>
            <w:shd w:val="clear" w:color="auto" w:fill="auto"/>
            <w:noWrap/>
            <w:tcMar>
              <w:top w:w="10" w:type="dxa"/>
              <w:left w:w="10" w:type="dxa"/>
              <w:bottom w:w="0" w:type="dxa"/>
              <w:right w:w="10" w:type="dxa"/>
            </w:tcMar>
            <w:vAlign w:val="bottom"/>
            <w:hideMark/>
          </w:tcPr>
          <w:p w:rsidR="00BA7C49" w:rsidRDefault="00BA7C49" w:rsidP="005F59DE">
            <w:pPr>
              <w:pStyle w:val="Gridtext"/>
              <w:rPr>
                <w:color w:val="000000"/>
              </w:rPr>
            </w:pPr>
            <w:r>
              <w:rPr>
                <w:color w:val="000000"/>
              </w:rPr>
              <w:t>Measurement</w:t>
            </w:r>
            <w:r>
              <w:rPr>
                <w:color w:val="000000"/>
              </w:rPr>
              <w:br/>
            </w:r>
          </w:p>
        </w:tc>
        <w:tc>
          <w:tcPr>
            <w:tcW w:w="1575" w:type="dxa"/>
            <w:shd w:val="clear" w:color="auto" w:fill="auto"/>
            <w:noWrap/>
            <w:tcMar>
              <w:top w:w="10" w:type="dxa"/>
              <w:left w:w="10" w:type="dxa"/>
              <w:bottom w:w="0" w:type="dxa"/>
              <w:right w:w="10" w:type="dxa"/>
            </w:tcMar>
            <w:vAlign w:val="bottom"/>
            <w:hideMark/>
          </w:tcPr>
          <w:p w:rsidR="00BA7C49" w:rsidRDefault="00BA7C49" w:rsidP="005F59DE">
            <w:pPr>
              <w:pStyle w:val="Gridtext"/>
              <w:rPr>
                <w:color w:val="000000"/>
              </w:rPr>
            </w:pPr>
            <w:r>
              <w:rPr>
                <w:color w:val="000000"/>
              </w:rPr>
              <w:t>Comprehension</w:t>
            </w:r>
            <w:r>
              <w:rPr>
                <w:color w:val="000000"/>
              </w:rPr>
              <w:br/>
            </w:r>
          </w:p>
        </w:tc>
      </w:tr>
      <w:tr w:rsidR="00615B3D" w:rsidRPr="000B4B45" w:rsidTr="00892E6D">
        <w:trPr>
          <w:trHeight w:val="300"/>
        </w:trPr>
        <w:tc>
          <w:tcPr>
            <w:tcW w:w="825" w:type="dxa"/>
            <w:shd w:val="clear" w:color="auto" w:fill="auto"/>
            <w:noWrap/>
            <w:tcMar>
              <w:top w:w="10" w:type="dxa"/>
              <w:left w:w="10" w:type="dxa"/>
              <w:bottom w:w="0" w:type="dxa"/>
              <w:right w:w="10" w:type="dxa"/>
            </w:tcMar>
            <w:vAlign w:val="bottom"/>
            <w:hideMark/>
          </w:tcPr>
          <w:p w:rsidR="00615B3D" w:rsidRPr="000B4B45" w:rsidRDefault="00615B3D" w:rsidP="00B91A3B">
            <w:pPr>
              <w:pStyle w:val="Gridtext"/>
            </w:pPr>
            <w:r w:rsidRPr="000B4B45">
              <w:t>1</w:t>
            </w:r>
            <w:r w:rsidR="00BA7C49">
              <w:t>-17</w:t>
            </w:r>
            <w:r w:rsidR="00340212">
              <w:br/>
            </w:r>
          </w:p>
        </w:tc>
        <w:tc>
          <w:tcPr>
            <w:tcW w:w="2146" w:type="dxa"/>
            <w:shd w:val="clear" w:color="auto" w:fill="auto"/>
            <w:tcMar>
              <w:top w:w="10" w:type="dxa"/>
              <w:left w:w="10" w:type="dxa"/>
              <w:bottom w:w="0" w:type="dxa"/>
              <w:right w:w="10" w:type="dxa"/>
            </w:tcMar>
            <w:vAlign w:val="bottom"/>
            <w:hideMark/>
          </w:tcPr>
          <w:p w:rsidR="00615B3D" w:rsidRDefault="00615B3D" w:rsidP="007435AB">
            <w:pPr>
              <w:pStyle w:val="Gridtext"/>
              <w:rPr>
                <w:color w:val="000000"/>
              </w:rPr>
            </w:pPr>
            <w:r>
              <w:rPr>
                <w:color w:val="000000"/>
              </w:rPr>
              <w:t>Standard Setting</w:t>
            </w:r>
            <w:r w:rsidR="00340212">
              <w:rPr>
                <w:color w:val="000000"/>
              </w:rPr>
              <w:br/>
            </w:r>
          </w:p>
        </w:tc>
        <w:tc>
          <w:tcPr>
            <w:tcW w:w="2862" w:type="dxa"/>
            <w:shd w:val="clear" w:color="auto" w:fill="auto"/>
            <w:tcMar>
              <w:top w:w="10" w:type="dxa"/>
              <w:left w:w="10" w:type="dxa"/>
              <w:bottom w:w="0" w:type="dxa"/>
              <w:right w:w="10" w:type="dxa"/>
            </w:tcMar>
            <w:vAlign w:val="bottom"/>
            <w:hideMark/>
          </w:tcPr>
          <w:p w:rsidR="00615B3D" w:rsidRDefault="00BA7C49" w:rsidP="00615B3D">
            <w:pPr>
              <w:pStyle w:val="Gridtext"/>
              <w:rPr>
                <w:color w:val="000000"/>
              </w:rPr>
            </w:pPr>
            <w:r>
              <w:rPr>
                <w:color w:val="000000"/>
              </w:rPr>
              <w:t xml:space="preserve">The impact of pure theory vs politics in standard setting. </w:t>
            </w:r>
          </w:p>
        </w:tc>
        <w:tc>
          <w:tcPr>
            <w:tcW w:w="288" w:type="dxa"/>
            <w:shd w:val="clear" w:color="auto" w:fill="auto"/>
            <w:tcMar>
              <w:top w:w="10" w:type="dxa"/>
              <w:left w:w="10" w:type="dxa"/>
              <w:bottom w:w="0" w:type="dxa"/>
              <w:right w:w="10" w:type="dxa"/>
            </w:tcMar>
            <w:vAlign w:val="bottom"/>
            <w:hideMark/>
          </w:tcPr>
          <w:p w:rsidR="00615B3D" w:rsidRDefault="00615B3D" w:rsidP="00A415D1">
            <w:pPr>
              <w:pStyle w:val="Gridtext"/>
              <w:jc w:val="center"/>
              <w:rPr>
                <w:color w:val="000000"/>
              </w:rPr>
            </w:pPr>
            <w:r>
              <w:rPr>
                <w:color w:val="000000"/>
              </w:rPr>
              <w:t>5</w:t>
            </w:r>
            <w:r w:rsidR="00340212">
              <w:rPr>
                <w:color w:val="000000"/>
              </w:rPr>
              <w:br/>
            </w:r>
          </w:p>
        </w:tc>
        <w:tc>
          <w:tcPr>
            <w:tcW w:w="717" w:type="dxa"/>
            <w:shd w:val="clear" w:color="auto" w:fill="auto"/>
            <w:noWrap/>
            <w:tcMar>
              <w:top w:w="10" w:type="dxa"/>
              <w:left w:w="10" w:type="dxa"/>
              <w:bottom w:w="0" w:type="dxa"/>
              <w:right w:w="10" w:type="dxa"/>
            </w:tcMar>
            <w:vAlign w:val="bottom"/>
            <w:hideMark/>
          </w:tcPr>
          <w:p w:rsidR="00615B3D" w:rsidRPr="000B4B45" w:rsidRDefault="00615B3D" w:rsidP="00B91A3B">
            <w:pPr>
              <w:pStyle w:val="Gridtext"/>
            </w:pPr>
          </w:p>
        </w:tc>
        <w:tc>
          <w:tcPr>
            <w:tcW w:w="1252"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Easy</w:t>
            </w:r>
            <w:r w:rsidR="00340212">
              <w:rPr>
                <w:color w:val="000000"/>
              </w:rPr>
              <w:br/>
            </w:r>
          </w:p>
        </w:tc>
        <w:tc>
          <w:tcPr>
            <w:tcW w:w="431" w:type="dxa"/>
            <w:shd w:val="clear" w:color="auto" w:fill="auto"/>
            <w:noWrap/>
            <w:tcMar>
              <w:top w:w="10" w:type="dxa"/>
              <w:left w:w="10" w:type="dxa"/>
              <w:bottom w:w="0" w:type="dxa"/>
              <w:right w:w="10" w:type="dxa"/>
            </w:tcMar>
            <w:vAlign w:val="bottom"/>
            <w:hideMark/>
          </w:tcPr>
          <w:p w:rsidR="00615B3D" w:rsidRDefault="00615B3D" w:rsidP="00A415D1">
            <w:pPr>
              <w:pStyle w:val="Gridtext"/>
              <w:jc w:val="center"/>
              <w:rPr>
                <w:color w:val="000000"/>
              </w:rPr>
            </w:pPr>
            <w:r>
              <w:rPr>
                <w:color w:val="000000"/>
              </w:rPr>
              <w:t>5</w:t>
            </w:r>
            <w:r w:rsidR="00340212">
              <w:rPr>
                <w:color w:val="000000"/>
              </w:rPr>
              <w:br/>
            </w:r>
          </w:p>
        </w:tc>
        <w:tc>
          <w:tcPr>
            <w:tcW w:w="1288"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Analytic</w:t>
            </w:r>
            <w:r w:rsidR="00340212">
              <w:rPr>
                <w:color w:val="000000"/>
              </w:rPr>
              <w:br/>
            </w:r>
          </w:p>
        </w:tc>
        <w:tc>
          <w:tcPr>
            <w:tcW w:w="1432"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Measurement</w:t>
            </w:r>
            <w:r w:rsidR="00340212">
              <w:rPr>
                <w:color w:val="000000"/>
              </w:rPr>
              <w:br/>
            </w:r>
          </w:p>
        </w:tc>
        <w:tc>
          <w:tcPr>
            <w:tcW w:w="1575" w:type="dxa"/>
            <w:shd w:val="clear" w:color="auto" w:fill="auto"/>
            <w:noWrap/>
            <w:tcMar>
              <w:top w:w="10" w:type="dxa"/>
              <w:left w:w="10" w:type="dxa"/>
              <w:bottom w:w="0" w:type="dxa"/>
              <w:right w:w="10" w:type="dxa"/>
            </w:tcMar>
            <w:vAlign w:val="bottom"/>
            <w:hideMark/>
          </w:tcPr>
          <w:p w:rsidR="00615B3D" w:rsidRDefault="00615B3D" w:rsidP="00B91A3B">
            <w:pPr>
              <w:pStyle w:val="Gridtext"/>
              <w:rPr>
                <w:color w:val="000000"/>
              </w:rPr>
            </w:pPr>
            <w:r>
              <w:rPr>
                <w:color w:val="000000"/>
              </w:rPr>
              <w:t>Analysis</w:t>
            </w:r>
            <w:r w:rsidR="00340212">
              <w:rPr>
                <w:color w:val="000000"/>
              </w:rPr>
              <w:br/>
            </w:r>
          </w:p>
        </w:tc>
      </w:tr>
      <w:tr w:rsidR="009F5941" w:rsidRPr="000B4B45" w:rsidTr="00892E6D">
        <w:trPr>
          <w:trHeight w:val="300"/>
        </w:trPr>
        <w:tc>
          <w:tcPr>
            <w:tcW w:w="825" w:type="dxa"/>
            <w:shd w:val="clear" w:color="auto" w:fill="auto"/>
            <w:noWrap/>
            <w:tcMar>
              <w:top w:w="10" w:type="dxa"/>
              <w:left w:w="10" w:type="dxa"/>
              <w:bottom w:w="0" w:type="dxa"/>
              <w:right w:w="10" w:type="dxa"/>
            </w:tcMar>
            <w:vAlign w:val="bottom"/>
            <w:hideMark/>
          </w:tcPr>
          <w:p w:rsidR="009F5941" w:rsidRPr="000B4B45" w:rsidRDefault="009F5941" w:rsidP="00BA7C49">
            <w:pPr>
              <w:pStyle w:val="Gridtext"/>
            </w:pPr>
            <w:r w:rsidRPr="000B4B45">
              <w:t>1</w:t>
            </w:r>
            <w:r w:rsidR="00BA7C49">
              <w:t>-18</w:t>
            </w:r>
            <w:r w:rsidR="00540FA6">
              <w:br/>
            </w:r>
          </w:p>
        </w:tc>
        <w:tc>
          <w:tcPr>
            <w:tcW w:w="2146" w:type="dxa"/>
            <w:shd w:val="clear" w:color="auto" w:fill="auto"/>
            <w:tcMar>
              <w:top w:w="10" w:type="dxa"/>
              <w:left w:w="10" w:type="dxa"/>
              <w:bottom w:w="0" w:type="dxa"/>
              <w:right w:w="10" w:type="dxa"/>
            </w:tcMar>
            <w:vAlign w:val="bottom"/>
            <w:hideMark/>
          </w:tcPr>
          <w:p w:rsidR="009F5941" w:rsidRDefault="009F5941" w:rsidP="00B91A3B">
            <w:pPr>
              <w:pStyle w:val="Gridtext"/>
              <w:rPr>
                <w:color w:val="000000"/>
              </w:rPr>
            </w:pPr>
            <w:r>
              <w:rPr>
                <w:color w:val="000000"/>
              </w:rPr>
              <w:t>Financial Statements</w:t>
            </w:r>
            <w:r w:rsidR="00540FA6">
              <w:rPr>
                <w:color w:val="000000"/>
              </w:rPr>
              <w:br/>
            </w:r>
          </w:p>
        </w:tc>
        <w:tc>
          <w:tcPr>
            <w:tcW w:w="2862" w:type="dxa"/>
            <w:shd w:val="clear" w:color="auto" w:fill="auto"/>
            <w:tcMar>
              <w:top w:w="10" w:type="dxa"/>
              <w:left w:w="10" w:type="dxa"/>
              <w:bottom w:w="0" w:type="dxa"/>
              <w:right w:w="10" w:type="dxa"/>
            </w:tcMar>
            <w:vAlign w:val="bottom"/>
            <w:hideMark/>
          </w:tcPr>
          <w:p w:rsidR="009F5941" w:rsidRDefault="009F5941" w:rsidP="009F5941">
            <w:pPr>
              <w:pStyle w:val="Gridtext"/>
              <w:rPr>
                <w:color w:val="000000"/>
              </w:rPr>
            </w:pPr>
            <w:r>
              <w:rPr>
                <w:color w:val="000000"/>
              </w:rPr>
              <w:t>Balance sheet; financial reporting stakeholders</w:t>
            </w:r>
          </w:p>
        </w:tc>
        <w:tc>
          <w:tcPr>
            <w:tcW w:w="288" w:type="dxa"/>
            <w:shd w:val="clear" w:color="auto" w:fill="auto"/>
            <w:tcMar>
              <w:top w:w="10" w:type="dxa"/>
              <w:left w:w="10" w:type="dxa"/>
              <w:bottom w:w="0" w:type="dxa"/>
              <w:right w:w="10" w:type="dxa"/>
            </w:tcMar>
            <w:vAlign w:val="bottom"/>
            <w:hideMark/>
          </w:tcPr>
          <w:p w:rsidR="009F5941" w:rsidRDefault="00BA7C49" w:rsidP="00A415D1">
            <w:pPr>
              <w:pStyle w:val="Gridtext"/>
              <w:jc w:val="center"/>
              <w:rPr>
                <w:color w:val="000000"/>
              </w:rPr>
            </w:pPr>
            <w:r>
              <w:rPr>
                <w:color w:val="000000"/>
              </w:rPr>
              <w:t>6</w:t>
            </w:r>
            <w:r w:rsidR="00540FA6">
              <w:rPr>
                <w:color w:val="000000"/>
              </w:rPr>
              <w:br/>
            </w:r>
          </w:p>
        </w:tc>
        <w:tc>
          <w:tcPr>
            <w:tcW w:w="717" w:type="dxa"/>
            <w:shd w:val="clear" w:color="auto" w:fill="auto"/>
            <w:noWrap/>
            <w:tcMar>
              <w:top w:w="10" w:type="dxa"/>
              <w:left w:w="10" w:type="dxa"/>
              <w:bottom w:w="0" w:type="dxa"/>
              <w:right w:w="10" w:type="dxa"/>
            </w:tcMar>
            <w:vAlign w:val="bottom"/>
            <w:hideMark/>
          </w:tcPr>
          <w:p w:rsidR="009F5941" w:rsidRPr="000B4B45" w:rsidRDefault="009F5941" w:rsidP="00B91A3B">
            <w:pPr>
              <w:pStyle w:val="Gridtext"/>
            </w:pPr>
          </w:p>
        </w:tc>
        <w:tc>
          <w:tcPr>
            <w:tcW w:w="1252"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Easy</w:t>
            </w:r>
            <w:r w:rsidR="00540FA6">
              <w:rPr>
                <w:color w:val="000000"/>
              </w:rPr>
              <w:br/>
            </w:r>
          </w:p>
        </w:tc>
        <w:tc>
          <w:tcPr>
            <w:tcW w:w="431" w:type="dxa"/>
            <w:shd w:val="clear" w:color="auto" w:fill="auto"/>
            <w:noWrap/>
            <w:tcMar>
              <w:top w:w="10" w:type="dxa"/>
              <w:left w:w="10" w:type="dxa"/>
              <w:bottom w:w="0" w:type="dxa"/>
              <w:right w:w="10" w:type="dxa"/>
            </w:tcMar>
            <w:vAlign w:val="bottom"/>
            <w:hideMark/>
          </w:tcPr>
          <w:p w:rsidR="009F5941" w:rsidRDefault="009F5941" w:rsidP="00A415D1">
            <w:pPr>
              <w:pStyle w:val="Gridtext"/>
              <w:jc w:val="center"/>
              <w:rPr>
                <w:color w:val="000000"/>
              </w:rPr>
            </w:pPr>
            <w:r>
              <w:rPr>
                <w:color w:val="000000"/>
              </w:rPr>
              <w:t>5</w:t>
            </w:r>
            <w:r w:rsidR="00540FA6">
              <w:rPr>
                <w:color w:val="000000"/>
              </w:rPr>
              <w:br/>
            </w:r>
          </w:p>
        </w:tc>
        <w:tc>
          <w:tcPr>
            <w:tcW w:w="1288"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Analytic</w:t>
            </w:r>
            <w:r w:rsidR="00540FA6">
              <w:rPr>
                <w:color w:val="000000"/>
              </w:rPr>
              <w:br/>
            </w:r>
          </w:p>
        </w:tc>
        <w:tc>
          <w:tcPr>
            <w:tcW w:w="1432"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Reporting</w:t>
            </w:r>
            <w:r w:rsidR="00540FA6">
              <w:rPr>
                <w:color w:val="000000"/>
              </w:rPr>
              <w:br/>
            </w:r>
          </w:p>
        </w:tc>
        <w:tc>
          <w:tcPr>
            <w:tcW w:w="1575"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Application</w:t>
            </w:r>
            <w:r w:rsidR="00540FA6">
              <w:rPr>
                <w:color w:val="000000"/>
              </w:rPr>
              <w:br/>
            </w:r>
          </w:p>
        </w:tc>
      </w:tr>
      <w:tr w:rsidR="009F5941" w:rsidRPr="000B4B45" w:rsidTr="00892E6D">
        <w:trPr>
          <w:trHeight w:val="300"/>
        </w:trPr>
        <w:tc>
          <w:tcPr>
            <w:tcW w:w="825" w:type="dxa"/>
            <w:shd w:val="clear" w:color="auto" w:fill="auto"/>
            <w:noWrap/>
            <w:tcMar>
              <w:top w:w="10" w:type="dxa"/>
              <w:left w:w="10" w:type="dxa"/>
              <w:bottom w:w="0" w:type="dxa"/>
              <w:right w:w="10" w:type="dxa"/>
            </w:tcMar>
            <w:vAlign w:val="bottom"/>
            <w:hideMark/>
          </w:tcPr>
          <w:p w:rsidR="009F5941" w:rsidRPr="000B4B45" w:rsidRDefault="009F5941" w:rsidP="00BA7C49">
            <w:pPr>
              <w:pStyle w:val="Gridtext"/>
            </w:pPr>
            <w:r w:rsidRPr="000B4B45">
              <w:t>1</w:t>
            </w:r>
            <w:r w:rsidR="00BA7C49">
              <w:t>-19</w:t>
            </w:r>
            <w:r w:rsidR="00540FA6">
              <w:br/>
            </w:r>
          </w:p>
        </w:tc>
        <w:tc>
          <w:tcPr>
            <w:tcW w:w="2146" w:type="dxa"/>
            <w:shd w:val="clear" w:color="auto" w:fill="auto"/>
            <w:tcMar>
              <w:top w:w="10" w:type="dxa"/>
              <w:left w:w="10" w:type="dxa"/>
              <w:bottom w:w="0" w:type="dxa"/>
              <w:right w:w="10" w:type="dxa"/>
            </w:tcMar>
            <w:vAlign w:val="bottom"/>
            <w:hideMark/>
          </w:tcPr>
          <w:p w:rsidR="009F5941" w:rsidRDefault="009F5941" w:rsidP="00B91A3B">
            <w:pPr>
              <w:pStyle w:val="Gridtext"/>
              <w:rPr>
                <w:color w:val="000000"/>
              </w:rPr>
            </w:pPr>
            <w:r>
              <w:rPr>
                <w:color w:val="000000"/>
              </w:rPr>
              <w:t>Financial Statements</w:t>
            </w:r>
            <w:r w:rsidR="00540FA6">
              <w:rPr>
                <w:color w:val="000000"/>
              </w:rPr>
              <w:br/>
            </w:r>
          </w:p>
        </w:tc>
        <w:tc>
          <w:tcPr>
            <w:tcW w:w="2862" w:type="dxa"/>
            <w:shd w:val="clear" w:color="auto" w:fill="auto"/>
            <w:tcMar>
              <w:top w:w="10" w:type="dxa"/>
              <w:left w:w="10" w:type="dxa"/>
              <w:bottom w:w="0" w:type="dxa"/>
              <w:right w:w="10" w:type="dxa"/>
            </w:tcMar>
            <w:vAlign w:val="bottom"/>
            <w:hideMark/>
          </w:tcPr>
          <w:p w:rsidR="009F5941" w:rsidRDefault="009F5941" w:rsidP="009F5941">
            <w:pPr>
              <w:pStyle w:val="Gridtext"/>
              <w:rPr>
                <w:color w:val="000000"/>
              </w:rPr>
            </w:pPr>
            <w:r>
              <w:rPr>
                <w:color w:val="000000"/>
              </w:rPr>
              <w:t>Income statement; financial reporting stakeholders</w:t>
            </w:r>
          </w:p>
        </w:tc>
        <w:tc>
          <w:tcPr>
            <w:tcW w:w="288" w:type="dxa"/>
            <w:shd w:val="clear" w:color="auto" w:fill="auto"/>
            <w:tcMar>
              <w:top w:w="10" w:type="dxa"/>
              <w:left w:w="10" w:type="dxa"/>
              <w:bottom w:w="0" w:type="dxa"/>
              <w:right w:w="10" w:type="dxa"/>
            </w:tcMar>
            <w:vAlign w:val="bottom"/>
            <w:hideMark/>
          </w:tcPr>
          <w:p w:rsidR="009F5941" w:rsidRDefault="00BA7C49" w:rsidP="00BA7C49">
            <w:pPr>
              <w:pStyle w:val="Gridtext"/>
              <w:jc w:val="center"/>
              <w:rPr>
                <w:color w:val="000000"/>
              </w:rPr>
            </w:pPr>
            <w:r>
              <w:rPr>
                <w:color w:val="000000"/>
              </w:rPr>
              <w:t>6</w:t>
            </w:r>
            <w:r w:rsidR="00540FA6">
              <w:rPr>
                <w:color w:val="000000"/>
              </w:rPr>
              <w:br/>
            </w:r>
          </w:p>
        </w:tc>
        <w:tc>
          <w:tcPr>
            <w:tcW w:w="717" w:type="dxa"/>
            <w:shd w:val="clear" w:color="auto" w:fill="auto"/>
            <w:noWrap/>
            <w:tcMar>
              <w:top w:w="10" w:type="dxa"/>
              <w:left w:w="10" w:type="dxa"/>
              <w:bottom w:w="0" w:type="dxa"/>
              <w:right w:w="10" w:type="dxa"/>
            </w:tcMar>
            <w:vAlign w:val="bottom"/>
            <w:hideMark/>
          </w:tcPr>
          <w:p w:rsidR="009F5941" w:rsidRPr="000B4B45" w:rsidRDefault="009F5941" w:rsidP="00B91A3B">
            <w:pPr>
              <w:pStyle w:val="Gridtext"/>
            </w:pPr>
          </w:p>
        </w:tc>
        <w:tc>
          <w:tcPr>
            <w:tcW w:w="1252"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Easy</w:t>
            </w:r>
            <w:r w:rsidR="00540FA6">
              <w:rPr>
                <w:color w:val="000000"/>
              </w:rPr>
              <w:br/>
            </w:r>
          </w:p>
        </w:tc>
        <w:tc>
          <w:tcPr>
            <w:tcW w:w="431" w:type="dxa"/>
            <w:shd w:val="clear" w:color="auto" w:fill="auto"/>
            <w:noWrap/>
            <w:tcMar>
              <w:top w:w="10" w:type="dxa"/>
              <w:left w:w="10" w:type="dxa"/>
              <w:bottom w:w="0" w:type="dxa"/>
              <w:right w:w="10" w:type="dxa"/>
            </w:tcMar>
            <w:vAlign w:val="bottom"/>
            <w:hideMark/>
          </w:tcPr>
          <w:p w:rsidR="009F5941" w:rsidRDefault="009F5941" w:rsidP="00A415D1">
            <w:pPr>
              <w:pStyle w:val="Gridtext"/>
              <w:jc w:val="center"/>
              <w:rPr>
                <w:color w:val="000000"/>
              </w:rPr>
            </w:pPr>
            <w:r>
              <w:rPr>
                <w:color w:val="000000"/>
              </w:rPr>
              <w:t>5</w:t>
            </w:r>
            <w:r w:rsidR="00540FA6">
              <w:rPr>
                <w:color w:val="000000"/>
              </w:rPr>
              <w:br/>
            </w:r>
          </w:p>
        </w:tc>
        <w:tc>
          <w:tcPr>
            <w:tcW w:w="1288"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Analytic</w:t>
            </w:r>
            <w:r w:rsidR="00540FA6">
              <w:rPr>
                <w:color w:val="000000"/>
              </w:rPr>
              <w:br/>
            </w:r>
          </w:p>
        </w:tc>
        <w:tc>
          <w:tcPr>
            <w:tcW w:w="1432"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Reporting</w:t>
            </w:r>
            <w:r w:rsidR="00540FA6">
              <w:rPr>
                <w:color w:val="000000"/>
              </w:rPr>
              <w:br/>
            </w:r>
          </w:p>
        </w:tc>
        <w:tc>
          <w:tcPr>
            <w:tcW w:w="1575"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Application</w:t>
            </w:r>
            <w:r w:rsidR="00540FA6">
              <w:rPr>
                <w:color w:val="000000"/>
              </w:rPr>
              <w:br/>
            </w:r>
          </w:p>
        </w:tc>
      </w:tr>
      <w:tr w:rsidR="009F5941" w:rsidRPr="000B4B45" w:rsidTr="00892E6D">
        <w:trPr>
          <w:trHeight w:val="300"/>
        </w:trPr>
        <w:tc>
          <w:tcPr>
            <w:tcW w:w="825" w:type="dxa"/>
            <w:shd w:val="clear" w:color="auto" w:fill="auto"/>
            <w:noWrap/>
            <w:tcMar>
              <w:top w:w="10" w:type="dxa"/>
              <w:left w:w="10" w:type="dxa"/>
              <w:bottom w:w="0" w:type="dxa"/>
              <w:right w:w="10" w:type="dxa"/>
            </w:tcMar>
            <w:vAlign w:val="bottom"/>
            <w:hideMark/>
          </w:tcPr>
          <w:p w:rsidR="009F5941" w:rsidRPr="000B4B45" w:rsidRDefault="009F5941" w:rsidP="00BA7C49">
            <w:pPr>
              <w:pStyle w:val="Gridtext"/>
            </w:pPr>
            <w:r w:rsidRPr="000B4B45">
              <w:t>1</w:t>
            </w:r>
            <w:r w:rsidR="00BA7C49">
              <w:t>-20</w:t>
            </w:r>
            <w:r w:rsidR="00540FA6">
              <w:br/>
            </w:r>
            <w:r w:rsidR="00540FA6">
              <w:br/>
            </w:r>
          </w:p>
        </w:tc>
        <w:tc>
          <w:tcPr>
            <w:tcW w:w="2146" w:type="dxa"/>
            <w:shd w:val="clear" w:color="auto" w:fill="auto"/>
            <w:tcMar>
              <w:top w:w="10" w:type="dxa"/>
              <w:left w:w="10" w:type="dxa"/>
              <w:bottom w:w="0" w:type="dxa"/>
              <w:right w:w="10" w:type="dxa"/>
            </w:tcMar>
            <w:vAlign w:val="bottom"/>
            <w:hideMark/>
          </w:tcPr>
          <w:p w:rsidR="009F5941" w:rsidRDefault="009F5941" w:rsidP="00B91A3B">
            <w:pPr>
              <w:pStyle w:val="Gridtext"/>
              <w:rPr>
                <w:color w:val="000000"/>
              </w:rPr>
            </w:pPr>
            <w:r>
              <w:rPr>
                <w:color w:val="000000"/>
              </w:rPr>
              <w:t>Financial Statements</w:t>
            </w:r>
            <w:r w:rsidR="00540FA6">
              <w:rPr>
                <w:color w:val="000000"/>
              </w:rPr>
              <w:br/>
            </w:r>
            <w:r w:rsidR="00540FA6">
              <w:rPr>
                <w:color w:val="000000"/>
              </w:rPr>
              <w:br/>
            </w:r>
          </w:p>
        </w:tc>
        <w:tc>
          <w:tcPr>
            <w:tcW w:w="2862" w:type="dxa"/>
            <w:shd w:val="clear" w:color="auto" w:fill="auto"/>
            <w:tcMar>
              <w:top w:w="10" w:type="dxa"/>
              <w:left w:w="10" w:type="dxa"/>
              <w:bottom w:w="0" w:type="dxa"/>
              <w:right w:w="10" w:type="dxa"/>
            </w:tcMar>
            <w:vAlign w:val="bottom"/>
            <w:hideMark/>
          </w:tcPr>
          <w:p w:rsidR="009F5941" w:rsidRDefault="009F5941" w:rsidP="009F5941">
            <w:pPr>
              <w:pStyle w:val="Gridtext"/>
              <w:rPr>
                <w:color w:val="000000"/>
              </w:rPr>
            </w:pPr>
            <w:r>
              <w:rPr>
                <w:color w:val="000000"/>
              </w:rPr>
              <w:t>Statement of cash flows; financial reporting stakeholders</w:t>
            </w:r>
          </w:p>
        </w:tc>
        <w:tc>
          <w:tcPr>
            <w:tcW w:w="288" w:type="dxa"/>
            <w:shd w:val="clear" w:color="auto" w:fill="auto"/>
            <w:tcMar>
              <w:top w:w="10" w:type="dxa"/>
              <w:left w:w="10" w:type="dxa"/>
              <w:bottom w:w="0" w:type="dxa"/>
              <w:right w:w="10" w:type="dxa"/>
            </w:tcMar>
            <w:vAlign w:val="bottom"/>
            <w:hideMark/>
          </w:tcPr>
          <w:p w:rsidR="00BA7C49" w:rsidRDefault="00BA7C49" w:rsidP="00340212">
            <w:pPr>
              <w:pStyle w:val="Gridtext"/>
              <w:jc w:val="center"/>
              <w:rPr>
                <w:color w:val="000000"/>
              </w:rPr>
            </w:pPr>
            <w:r>
              <w:rPr>
                <w:color w:val="000000"/>
              </w:rPr>
              <w:t>6</w:t>
            </w:r>
            <w:r w:rsidR="00340212">
              <w:rPr>
                <w:color w:val="000000"/>
              </w:rPr>
              <w:br/>
            </w:r>
            <w:r w:rsidR="00340212">
              <w:rPr>
                <w:color w:val="000000"/>
              </w:rPr>
              <w:br/>
            </w:r>
          </w:p>
        </w:tc>
        <w:tc>
          <w:tcPr>
            <w:tcW w:w="717" w:type="dxa"/>
            <w:shd w:val="clear" w:color="auto" w:fill="auto"/>
            <w:noWrap/>
            <w:tcMar>
              <w:top w:w="10" w:type="dxa"/>
              <w:left w:w="10" w:type="dxa"/>
              <w:bottom w:w="0" w:type="dxa"/>
              <w:right w:w="10" w:type="dxa"/>
            </w:tcMar>
            <w:vAlign w:val="bottom"/>
            <w:hideMark/>
          </w:tcPr>
          <w:p w:rsidR="009F5941" w:rsidRPr="000B4B45" w:rsidRDefault="009F5941" w:rsidP="00B91A3B">
            <w:pPr>
              <w:pStyle w:val="Gridtext"/>
            </w:pPr>
          </w:p>
        </w:tc>
        <w:tc>
          <w:tcPr>
            <w:tcW w:w="1252"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Easy</w:t>
            </w:r>
            <w:r w:rsidR="00540FA6">
              <w:rPr>
                <w:color w:val="000000"/>
              </w:rPr>
              <w:br/>
            </w:r>
            <w:r w:rsidR="00540FA6">
              <w:rPr>
                <w:color w:val="000000"/>
              </w:rPr>
              <w:br/>
            </w:r>
          </w:p>
        </w:tc>
        <w:tc>
          <w:tcPr>
            <w:tcW w:w="431" w:type="dxa"/>
            <w:shd w:val="clear" w:color="auto" w:fill="auto"/>
            <w:noWrap/>
            <w:tcMar>
              <w:top w:w="10" w:type="dxa"/>
              <w:left w:w="10" w:type="dxa"/>
              <w:bottom w:w="0" w:type="dxa"/>
              <w:right w:w="10" w:type="dxa"/>
            </w:tcMar>
            <w:vAlign w:val="bottom"/>
            <w:hideMark/>
          </w:tcPr>
          <w:p w:rsidR="009F5941" w:rsidRDefault="009F5941" w:rsidP="00A415D1">
            <w:pPr>
              <w:pStyle w:val="Gridtext"/>
              <w:jc w:val="center"/>
              <w:rPr>
                <w:color w:val="000000"/>
              </w:rPr>
            </w:pPr>
            <w:r>
              <w:rPr>
                <w:color w:val="000000"/>
              </w:rPr>
              <w:t>5</w:t>
            </w:r>
            <w:r w:rsidR="00540FA6">
              <w:rPr>
                <w:color w:val="000000"/>
              </w:rPr>
              <w:br/>
            </w:r>
            <w:r w:rsidR="00540FA6">
              <w:rPr>
                <w:color w:val="000000"/>
              </w:rPr>
              <w:br/>
            </w:r>
          </w:p>
        </w:tc>
        <w:tc>
          <w:tcPr>
            <w:tcW w:w="1288"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Analytic</w:t>
            </w:r>
            <w:r w:rsidR="00540FA6">
              <w:rPr>
                <w:color w:val="000000"/>
              </w:rPr>
              <w:br/>
            </w:r>
            <w:r w:rsidR="00540FA6">
              <w:rPr>
                <w:color w:val="000000"/>
              </w:rPr>
              <w:br/>
            </w:r>
          </w:p>
        </w:tc>
        <w:tc>
          <w:tcPr>
            <w:tcW w:w="1432"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Reporting</w:t>
            </w:r>
            <w:r w:rsidR="00540FA6">
              <w:rPr>
                <w:color w:val="000000"/>
              </w:rPr>
              <w:br/>
            </w:r>
            <w:r w:rsidR="00540FA6">
              <w:rPr>
                <w:color w:val="000000"/>
              </w:rPr>
              <w:br/>
            </w:r>
          </w:p>
        </w:tc>
        <w:tc>
          <w:tcPr>
            <w:tcW w:w="1575" w:type="dxa"/>
            <w:shd w:val="clear" w:color="auto" w:fill="auto"/>
            <w:noWrap/>
            <w:tcMar>
              <w:top w:w="10" w:type="dxa"/>
              <w:left w:w="10" w:type="dxa"/>
              <w:bottom w:w="0" w:type="dxa"/>
              <w:right w:w="10" w:type="dxa"/>
            </w:tcMar>
            <w:vAlign w:val="bottom"/>
            <w:hideMark/>
          </w:tcPr>
          <w:p w:rsidR="009F5941" w:rsidRDefault="009F5941" w:rsidP="00B91A3B">
            <w:pPr>
              <w:pStyle w:val="Gridtext"/>
              <w:rPr>
                <w:color w:val="000000"/>
              </w:rPr>
            </w:pPr>
            <w:r>
              <w:rPr>
                <w:color w:val="000000"/>
              </w:rPr>
              <w:t>Application</w:t>
            </w:r>
            <w:r w:rsidR="00540FA6">
              <w:rPr>
                <w:color w:val="000000"/>
              </w:rPr>
              <w:br/>
            </w:r>
            <w:r w:rsidR="00540FA6">
              <w:rPr>
                <w:color w:val="000000"/>
              </w:rPr>
              <w:br/>
            </w:r>
          </w:p>
        </w:tc>
      </w:tr>
      <w:tr w:rsidR="00111D94" w:rsidRPr="000B4B45" w:rsidTr="00892E6D">
        <w:trPr>
          <w:trHeight w:val="300"/>
        </w:trPr>
        <w:tc>
          <w:tcPr>
            <w:tcW w:w="825" w:type="dxa"/>
            <w:shd w:val="clear" w:color="auto" w:fill="auto"/>
            <w:noWrap/>
            <w:tcMar>
              <w:top w:w="10" w:type="dxa"/>
              <w:left w:w="10" w:type="dxa"/>
              <w:bottom w:w="0" w:type="dxa"/>
              <w:right w:w="10" w:type="dxa"/>
            </w:tcMar>
            <w:vAlign w:val="bottom"/>
            <w:hideMark/>
          </w:tcPr>
          <w:p w:rsidR="00111D94" w:rsidRPr="000B4B45" w:rsidRDefault="00111D94" w:rsidP="009F5941">
            <w:pPr>
              <w:pStyle w:val="Gridtext"/>
            </w:pPr>
            <w:r w:rsidRPr="000B4B45">
              <w:t>1</w:t>
            </w:r>
            <w:r w:rsidR="00BA7C49">
              <w:t>-21</w:t>
            </w:r>
            <w:r>
              <w:br/>
            </w:r>
            <w:r>
              <w:br/>
            </w:r>
          </w:p>
        </w:tc>
        <w:tc>
          <w:tcPr>
            <w:tcW w:w="2146" w:type="dxa"/>
            <w:shd w:val="clear" w:color="auto" w:fill="auto"/>
            <w:tcMar>
              <w:top w:w="10" w:type="dxa"/>
              <w:left w:w="10" w:type="dxa"/>
              <w:bottom w:w="0" w:type="dxa"/>
              <w:right w:w="10" w:type="dxa"/>
            </w:tcMar>
            <w:vAlign w:val="bottom"/>
            <w:hideMark/>
          </w:tcPr>
          <w:p w:rsidR="00111D94" w:rsidRDefault="00111D94" w:rsidP="00B91A3B">
            <w:pPr>
              <w:pStyle w:val="Gridtext"/>
              <w:rPr>
                <w:color w:val="000000"/>
              </w:rPr>
            </w:pPr>
            <w:r>
              <w:rPr>
                <w:color w:val="000000"/>
              </w:rPr>
              <w:t>Financial Statements</w:t>
            </w:r>
            <w:r>
              <w:rPr>
                <w:color w:val="000000"/>
              </w:rPr>
              <w:br/>
            </w:r>
            <w:r>
              <w:rPr>
                <w:color w:val="000000"/>
              </w:rPr>
              <w:br/>
            </w:r>
          </w:p>
        </w:tc>
        <w:tc>
          <w:tcPr>
            <w:tcW w:w="2862" w:type="dxa"/>
            <w:shd w:val="clear" w:color="auto" w:fill="auto"/>
            <w:tcMar>
              <w:top w:w="10" w:type="dxa"/>
              <w:left w:w="10" w:type="dxa"/>
              <w:bottom w:w="0" w:type="dxa"/>
              <w:right w:w="10" w:type="dxa"/>
            </w:tcMar>
            <w:vAlign w:val="bottom"/>
            <w:hideMark/>
          </w:tcPr>
          <w:p w:rsidR="00111D94" w:rsidRDefault="00111D94" w:rsidP="0060212E">
            <w:pPr>
              <w:pStyle w:val="Gridtext"/>
              <w:rPr>
                <w:color w:val="000000"/>
              </w:rPr>
            </w:pPr>
            <w:r>
              <w:rPr>
                <w:color w:val="000000"/>
              </w:rPr>
              <w:t>Statement of s</w:t>
            </w:r>
            <w:r w:rsidR="0060212E">
              <w:rPr>
                <w:color w:val="000000"/>
              </w:rPr>
              <w:t>hare</w:t>
            </w:r>
            <w:r>
              <w:rPr>
                <w:color w:val="000000"/>
              </w:rPr>
              <w:t>holders' equity; financial reporting stakeholders</w:t>
            </w:r>
          </w:p>
        </w:tc>
        <w:tc>
          <w:tcPr>
            <w:tcW w:w="288" w:type="dxa"/>
            <w:shd w:val="clear" w:color="auto" w:fill="auto"/>
            <w:tcMar>
              <w:top w:w="10" w:type="dxa"/>
              <w:left w:w="10" w:type="dxa"/>
              <w:bottom w:w="0" w:type="dxa"/>
              <w:right w:w="10" w:type="dxa"/>
            </w:tcMar>
            <w:vAlign w:val="bottom"/>
            <w:hideMark/>
          </w:tcPr>
          <w:p w:rsidR="00111D94" w:rsidRDefault="006E6D38" w:rsidP="00A415D1">
            <w:pPr>
              <w:pStyle w:val="Gridtext"/>
              <w:jc w:val="center"/>
              <w:rPr>
                <w:color w:val="000000"/>
              </w:rPr>
            </w:pPr>
            <w:r>
              <w:rPr>
                <w:color w:val="000000"/>
              </w:rPr>
              <w:t>6</w:t>
            </w:r>
            <w:r w:rsidR="00111D94">
              <w:rPr>
                <w:color w:val="000000"/>
              </w:rPr>
              <w:br/>
            </w:r>
            <w:r w:rsidR="00111D94">
              <w:rPr>
                <w:color w:val="000000"/>
              </w:rPr>
              <w:br/>
            </w:r>
          </w:p>
        </w:tc>
        <w:tc>
          <w:tcPr>
            <w:tcW w:w="717" w:type="dxa"/>
            <w:shd w:val="clear" w:color="auto" w:fill="auto"/>
            <w:noWrap/>
            <w:tcMar>
              <w:top w:w="10" w:type="dxa"/>
              <w:left w:w="10" w:type="dxa"/>
              <w:bottom w:w="0" w:type="dxa"/>
              <w:right w:w="10" w:type="dxa"/>
            </w:tcMar>
            <w:vAlign w:val="bottom"/>
            <w:hideMark/>
          </w:tcPr>
          <w:p w:rsidR="00111D94" w:rsidRPr="000B4B45" w:rsidRDefault="00111D94" w:rsidP="00B91A3B">
            <w:pPr>
              <w:pStyle w:val="Gridtext"/>
            </w:pPr>
          </w:p>
        </w:tc>
        <w:tc>
          <w:tcPr>
            <w:tcW w:w="1252"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Easy</w:t>
            </w:r>
            <w:r>
              <w:rPr>
                <w:color w:val="000000"/>
              </w:rPr>
              <w:br/>
            </w:r>
            <w:r>
              <w:rPr>
                <w:color w:val="000000"/>
              </w:rPr>
              <w:br/>
            </w:r>
          </w:p>
        </w:tc>
        <w:tc>
          <w:tcPr>
            <w:tcW w:w="431" w:type="dxa"/>
            <w:shd w:val="clear" w:color="auto" w:fill="auto"/>
            <w:noWrap/>
            <w:tcMar>
              <w:top w:w="10" w:type="dxa"/>
              <w:left w:w="10" w:type="dxa"/>
              <w:bottom w:w="0" w:type="dxa"/>
              <w:right w:w="10" w:type="dxa"/>
            </w:tcMar>
            <w:vAlign w:val="bottom"/>
            <w:hideMark/>
          </w:tcPr>
          <w:p w:rsidR="00111D94" w:rsidRDefault="00111D94" w:rsidP="00A415D1">
            <w:pPr>
              <w:pStyle w:val="Gridtext"/>
              <w:jc w:val="center"/>
              <w:rPr>
                <w:color w:val="000000"/>
              </w:rPr>
            </w:pPr>
            <w:r>
              <w:rPr>
                <w:color w:val="000000"/>
              </w:rPr>
              <w:t>5</w:t>
            </w:r>
            <w:r>
              <w:rPr>
                <w:color w:val="000000"/>
              </w:rPr>
              <w:br/>
            </w:r>
            <w:r>
              <w:rPr>
                <w:color w:val="000000"/>
              </w:rPr>
              <w:br/>
            </w:r>
          </w:p>
        </w:tc>
        <w:tc>
          <w:tcPr>
            <w:tcW w:w="1288"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Analytic</w:t>
            </w:r>
            <w:r>
              <w:rPr>
                <w:color w:val="000000"/>
              </w:rPr>
              <w:br/>
            </w:r>
            <w:r>
              <w:rPr>
                <w:color w:val="000000"/>
              </w:rPr>
              <w:br/>
            </w:r>
          </w:p>
        </w:tc>
        <w:tc>
          <w:tcPr>
            <w:tcW w:w="1432"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Reporting</w:t>
            </w:r>
            <w:r>
              <w:rPr>
                <w:color w:val="000000"/>
              </w:rPr>
              <w:br/>
            </w:r>
            <w:r>
              <w:rPr>
                <w:color w:val="000000"/>
              </w:rPr>
              <w:br/>
            </w:r>
          </w:p>
        </w:tc>
        <w:tc>
          <w:tcPr>
            <w:tcW w:w="1575"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Application</w:t>
            </w:r>
            <w:r>
              <w:rPr>
                <w:color w:val="000000"/>
              </w:rPr>
              <w:br/>
            </w:r>
            <w:r>
              <w:rPr>
                <w:color w:val="000000"/>
              </w:rPr>
              <w:br/>
            </w:r>
          </w:p>
        </w:tc>
      </w:tr>
      <w:tr w:rsidR="00111D94" w:rsidRPr="000B4B45" w:rsidTr="00892E6D">
        <w:trPr>
          <w:trHeight w:val="300"/>
        </w:trPr>
        <w:tc>
          <w:tcPr>
            <w:tcW w:w="825" w:type="dxa"/>
            <w:shd w:val="clear" w:color="auto" w:fill="auto"/>
            <w:noWrap/>
            <w:tcMar>
              <w:top w:w="10" w:type="dxa"/>
              <w:left w:w="10" w:type="dxa"/>
              <w:bottom w:w="0" w:type="dxa"/>
              <w:right w:w="10" w:type="dxa"/>
            </w:tcMar>
            <w:vAlign w:val="bottom"/>
            <w:hideMark/>
          </w:tcPr>
          <w:p w:rsidR="00111D94" w:rsidRPr="000B4B45" w:rsidRDefault="00111D94" w:rsidP="00BA7C49">
            <w:pPr>
              <w:pStyle w:val="Gridtext"/>
            </w:pPr>
            <w:r w:rsidRPr="000B4B45">
              <w:t>1</w:t>
            </w:r>
            <w:r w:rsidR="009571F6">
              <w:t>-2</w:t>
            </w:r>
            <w:r w:rsidR="00BA7C49">
              <w:t>2</w:t>
            </w:r>
            <w:r>
              <w:br/>
            </w:r>
            <w:r>
              <w:br/>
            </w:r>
          </w:p>
        </w:tc>
        <w:tc>
          <w:tcPr>
            <w:tcW w:w="2146" w:type="dxa"/>
            <w:shd w:val="clear" w:color="auto" w:fill="auto"/>
            <w:tcMar>
              <w:top w:w="10" w:type="dxa"/>
              <w:left w:w="10" w:type="dxa"/>
              <w:bottom w:w="0" w:type="dxa"/>
              <w:right w:w="10" w:type="dxa"/>
            </w:tcMar>
            <w:vAlign w:val="bottom"/>
            <w:hideMark/>
          </w:tcPr>
          <w:p w:rsidR="00111D94" w:rsidRDefault="00111D94" w:rsidP="00B91A3B">
            <w:pPr>
              <w:pStyle w:val="Gridtext"/>
              <w:rPr>
                <w:color w:val="000000"/>
              </w:rPr>
            </w:pPr>
            <w:r>
              <w:rPr>
                <w:color w:val="000000"/>
              </w:rPr>
              <w:t>Financial Statements</w:t>
            </w:r>
            <w:r>
              <w:rPr>
                <w:color w:val="000000"/>
              </w:rPr>
              <w:br/>
            </w:r>
            <w:r>
              <w:rPr>
                <w:color w:val="000000"/>
              </w:rPr>
              <w:br/>
            </w:r>
          </w:p>
        </w:tc>
        <w:tc>
          <w:tcPr>
            <w:tcW w:w="2862" w:type="dxa"/>
            <w:shd w:val="clear" w:color="auto" w:fill="auto"/>
            <w:tcMar>
              <w:top w:w="10" w:type="dxa"/>
              <w:left w:w="10" w:type="dxa"/>
              <w:bottom w:w="0" w:type="dxa"/>
              <w:right w:w="10" w:type="dxa"/>
            </w:tcMar>
            <w:vAlign w:val="bottom"/>
            <w:hideMark/>
          </w:tcPr>
          <w:p w:rsidR="00111D94" w:rsidRDefault="00111D94" w:rsidP="00111D94">
            <w:pPr>
              <w:pStyle w:val="Gridtext"/>
              <w:rPr>
                <w:color w:val="000000"/>
              </w:rPr>
            </w:pPr>
            <w:r>
              <w:rPr>
                <w:color w:val="000000"/>
              </w:rPr>
              <w:t>Purpose of footnotes; disclosure of financial information</w:t>
            </w:r>
          </w:p>
        </w:tc>
        <w:tc>
          <w:tcPr>
            <w:tcW w:w="288" w:type="dxa"/>
            <w:shd w:val="clear" w:color="auto" w:fill="auto"/>
            <w:tcMar>
              <w:top w:w="10" w:type="dxa"/>
              <w:left w:w="10" w:type="dxa"/>
              <w:bottom w:w="0" w:type="dxa"/>
              <w:right w:w="10" w:type="dxa"/>
            </w:tcMar>
            <w:vAlign w:val="bottom"/>
            <w:hideMark/>
          </w:tcPr>
          <w:p w:rsidR="00111D94" w:rsidRDefault="006E6D38" w:rsidP="00A415D1">
            <w:pPr>
              <w:pStyle w:val="Gridtext"/>
              <w:jc w:val="center"/>
              <w:rPr>
                <w:color w:val="000000"/>
              </w:rPr>
            </w:pPr>
            <w:r>
              <w:rPr>
                <w:color w:val="000000"/>
              </w:rPr>
              <w:t>6</w:t>
            </w:r>
            <w:r w:rsidR="00111D94">
              <w:rPr>
                <w:color w:val="000000"/>
              </w:rPr>
              <w:br/>
            </w:r>
            <w:r w:rsidR="00111D94">
              <w:rPr>
                <w:color w:val="000000"/>
              </w:rPr>
              <w:br/>
            </w:r>
          </w:p>
        </w:tc>
        <w:tc>
          <w:tcPr>
            <w:tcW w:w="717" w:type="dxa"/>
            <w:shd w:val="clear" w:color="auto" w:fill="auto"/>
            <w:noWrap/>
            <w:tcMar>
              <w:top w:w="10" w:type="dxa"/>
              <w:left w:w="10" w:type="dxa"/>
              <w:bottom w:w="0" w:type="dxa"/>
              <w:right w:w="10" w:type="dxa"/>
            </w:tcMar>
            <w:vAlign w:val="bottom"/>
            <w:hideMark/>
          </w:tcPr>
          <w:p w:rsidR="00111D94" w:rsidRPr="000B4B45" w:rsidRDefault="00111D94" w:rsidP="00B91A3B">
            <w:pPr>
              <w:pStyle w:val="Gridtext"/>
            </w:pPr>
          </w:p>
        </w:tc>
        <w:tc>
          <w:tcPr>
            <w:tcW w:w="1252"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Easy</w:t>
            </w:r>
            <w:r>
              <w:rPr>
                <w:color w:val="000000"/>
              </w:rPr>
              <w:br/>
            </w:r>
            <w:r>
              <w:rPr>
                <w:color w:val="000000"/>
              </w:rPr>
              <w:br/>
            </w:r>
          </w:p>
        </w:tc>
        <w:tc>
          <w:tcPr>
            <w:tcW w:w="431" w:type="dxa"/>
            <w:shd w:val="clear" w:color="auto" w:fill="auto"/>
            <w:noWrap/>
            <w:tcMar>
              <w:top w:w="10" w:type="dxa"/>
              <w:left w:w="10" w:type="dxa"/>
              <w:bottom w:w="0" w:type="dxa"/>
              <w:right w:w="10" w:type="dxa"/>
            </w:tcMar>
            <w:vAlign w:val="bottom"/>
            <w:hideMark/>
          </w:tcPr>
          <w:p w:rsidR="00111D94" w:rsidRDefault="00111D94" w:rsidP="00A415D1">
            <w:pPr>
              <w:pStyle w:val="Gridtext"/>
              <w:jc w:val="center"/>
              <w:rPr>
                <w:color w:val="000000"/>
              </w:rPr>
            </w:pPr>
            <w:r>
              <w:rPr>
                <w:color w:val="000000"/>
              </w:rPr>
              <w:t>5</w:t>
            </w:r>
            <w:r>
              <w:rPr>
                <w:color w:val="000000"/>
              </w:rPr>
              <w:br/>
            </w:r>
            <w:r>
              <w:rPr>
                <w:color w:val="000000"/>
              </w:rPr>
              <w:br/>
            </w:r>
          </w:p>
        </w:tc>
        <w:tc>
          <w:tcPr>
            <w:tcW w:w="1288"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Analytic</w:t>
            </w:r>
            <w:r>
              <w:rPr>
                <w:color w:val="000000"/>
              </w:rPr>
              <w:br/>
            </w:r>
            <w:r>
              <w:rPr>
                <w:color w:val="000000"/>
              </w:rPr>
              <w:br/>
            </w:r>
          </w:p>
        </w:tc>
        <w:tc>
          <w:tcPr>
            <w:tcW w:w="1432"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Reporting</w:t>
            </w:r>
            <w:r>
              <w:rPr>
                <w:color w:val="000000"/>
              </w:rPr>
              <w:br/>
            </w:r>
            <w:r>
              <w:rPr>
                <w:color w:val="000000"/>
              </w:rPr>
              <w:br/>
            </w:r>
          </w:p>
        </w:tc>
        <w:tc>
          <w:tcPr>
            <w:tcW w:w="1575"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Application</w:t>
            </w:r>
            <w:r>
              <w:rPr>
                <w:color w:val="000000"/>
              </w:rPr>
              <w:br/>
            </w:r>
            <w:r>
              <w:rPr>
                <w:color w:val="000000"/>
              </w:rPr>
              <w:br/>
            </w:r>
          </w:p>
        </w:tc>
      </w:tr>
      <w:tr w:rsidR="00111D94" w:rsidRPr="000B4B45" w:rsidTr="00892E6D">
        <w:trPr>
          <w:trHeight w:val="300"/>
        </w:trPr>
        <w:tc>
          <w:tcPr>
            <w:tcW w:w="825" w:type="dxa"/>
            <w:shd w:val="clear" w:color="auto" w:fill="auto"/>
            <w:noWrap/>
            <w:tcMar>
              <w:top w:w="10" w:type="dxa"/>
              <w:left w:w="10" w:type="dxa"/>
              <w:bottom w:w="0" w:type="dxa"/>
              <w:right w:w="10" w:type="dxa"/>
            </w:tcMar>
            <w:vAlign w:val="bottom"/>
            <w:hideMark/>
          </w:tcPr>
          <w:p w:rsidR="00111D94" w:rsidRPr="000B4B45" w:rsidRDefault="00111D94" w:rsidP="009F5941">
            <w:pPr>
              <w:pStyle w:val="Gridtext"/>
            </w:pPr>
            <w:r w:rsidRPr="000B4B45">
              <w:t>1</w:t>
            </w:r>
            <w:r w:rsidR="00BA7C49">
              <w:t>-23</w:t>
            </w:r>
            <w:r>
              <w:br/>
            </w:r>
          </w:p>
        </w:tc>
        <w:tc>
          <w:tcPr>
            <w:tcW w:w="2146" w:type="dxa"/>
            <w:shd w:val="clear" w:color="auto" w:fill="auto"/>
            <w:tcMar>
              <w:top w:w="10" w:type="dxa"/>
              <w:left w:w="10" w:type="dxa"/>
              <w:bottom w:w="0" w:type="dxa"/>
              <w:right w:w="10" w:type="dxa"/>
            </w:tcMar>
            <w:vAlign w:val="bottom"/>
            <w:hideMark/>
          </w:tcPr>
          <w:p w:rsidR="00111D94" w:rsidRDefault="00111D94" w:rsidP="00B91A3B">
            <w:pPr>
              <w:pStyle w:val="Gridtext"/>
              <w:rPr>
                <w:color w:val="000000"/>
              </w:rPr>
            </w:pPr>
            <w:r>
              <w:rPr>
                <w:color w:val="000000"/>
              </w:rPr>
              <w:t>Earnings and the Stock Market</w:t>
            </w:r>
          </w:p>
        </w:tc>
        <w:tc>
          <w:tcPr>
            <w:tcW w:w="2862" w:type="dxa"/>
            <w:shd w:val="clear" w:color="auto" w:fill="auto"/>
            <w:tcMar>
              <w:top w:w="10" w:type="dxa"/>
              <w:left w:w="10" w:type="dxa"/>
              <w:bottom w:w="0" w:type="dxa"/>
              <w:right w:w="10" w:type="dxa"/>
            </w:tcMar>
            <w:vAlign w:val="bottom"/>
            <w:hideMark/>
          </w:tcPr>
          <w:p w:rsidR="00111D94" w:rsidRDefault="00111D94" w:rsidP="00111D94">
            <w:pPr>
              <w:pStyle w:val="Gridtext"/>
              <w:rPr>
                <w:color w:val="000000"/>
              </w:rPr>
            </w:pPr>
            <w:r>
              <w:rPr>
                <w:color w:val="000000"/>
              </w:rPr>
              <w:t>Economic consequences of earnings information</w:t>
            </w:r>
          </w:p>
        </w:tc>
        <w:tc>
          <w:tcPr>
            <w:tcW w:w="288" w:type="dxa"/>
            <w:shd w:val="clear" w:color="auto" w:fill="auto"/>
            <w:tcMar>
              <w:top w:w="10" w:type="dxa"/>
              <w:left w:w="10" w:type="dxa"/>
              <w:bottom w:w="0" w:type="dxa"/>
              <w:right w:w="10" w:type="dxa"/>
            </w:tcMar>
            <w:vAlign w:val="bottom"/>
            <w:hideMark/>
          </w:tcPr>
          <w:p w:rsidR="00111D94" w:rsidRDefault="006E6D38" w:rsidP="00A415D1">
            <w:pPr>
              <w:pStyle w:val="Gridtext"/>
              <w:jc w:val="center"/>
              <w:rPr>
                <w:color w:val="000000"/>
              </w:rPr>
            </w:pPr>
            <w:r>
              <w:rPr>
                <w:color w:val="000000"/>
              </w:rPr>
              <w:t>7</w:t>
            </w:r>
            <w:r w:rsidR="00111D94">
              <w:rPr>
                <w:color w:val="000000"/>
              </w:rPr>
              <w:br/>
            </w:r>
          </w:p>
        </w:tc>
        <w:tc>
          <w:tcPr>
            <w:tcW w:w="717" w:type="dxa"/>
            <w:shd w:val="clear" w:color="auto" w:fill="auto"/>
            <w:noWrap/>
            <w:tcMar>
              <w:top w:w="10" w:type="dxa"/>
              <w:left w:w="10" w:type="dxa"/>
              <w:bottom w:w="0" w:type="dxa"/>
              <w:right w:w="10" w:type="dxa"/>
            </w:tcMar>
            <w:vAlign w:val="bottom"/>
            <w:hideMark/>
          </w:tcPr>
          <w:p w:rsidR="00111D94" w:rsidRPr="000B4B45" w:rsidRDefault="00111D94" w:rsidP="00B91A3B">
            <w:pPr>
              <w:pStyle w:val="Gridtext"/>
            </w:pPr>
          </w:p>
        </w:tc>
        <w:tc>
          <w:tcPr>
            <w:tcW w:w="1252"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Easy</w:t>
            </w:r>
            <w:r>
              <w:rPr>
                <w:color w:val="000000"/>
              </w:rPr>
              <w:br/>
            </w:r>
          </w:p>
        </w:tc>
        <w:tc>
          <w:tcPr>
            <w:tcW w:w="431" w:type="dxa"/>
            <w:shd w:val="clear" w:color="auto" w:fill="auto"/>
            <w:noWrap/>
            <w:tcMar>
              <w:top w:w="10" w:type="dxa"/>
              <w:left w:w="10" w:type="dxa"/>
              <w:bottom w:w="0" w:type="dxa"/>
              <w:right w:w="10" w:type="dxa"/>
            </w:tcMar>
            <w:vAlign w:val="bottom"/>
            <w:hideMark/>
          </w:tcPr>
          <w:p w:rsidR="00111D94" w:rsidRDefault="00111D94" w:rsidP="00A415D1">
            <w:pPr>
              <w:pStyle w:val="Gridtext"/>
              <w:jc w:val="center"/>
              <w:rPr>
                <w:color w:val="000000"/>
              </w:rPr>
            </w:pPr>
            <w:r>
              <w:rPr>
                <w:color w:val="000000"/>
              </w:rPr>
              <w:t>5</w:t>
            </w:r>
            <w:r>
              <w:rPr>
                <w:color w:val="000000"/>
              </w:rPr>
              <w:br/>
            </w:r>
          </w:p>
        </w:tc>
        <w:tc>
          <w:tcPr>
            <w:tcW w:w="1288"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Analytic</w:t>
            </w:r>
            <w:r>
              <w:rPr>
                <w:color w:val="000000"/>
              </w:rPr>
              <w:br/>
            </w:r>
          </w:p>
        </w:tc>
        <w:tc>
          <w:tcPr>
            <w:tcW w:w="1432"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Measurement</w:t>
            </w:r>
            <w:r>
              <w:rPr>
                <w:color w:val="000000"/>
              </w:rPr>
              <w:br/>
            </w:r>
          </w:p>
        </w:tc>
        <w:tc>
          <w:tcPr>
            <w:tcW w:w="1575"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Analysis</w:t>
            </w:r>
            <w:r>
              <w:rPr>
                <w:color w:val="000000"/>
              </w:rPr>
              <w:br/>
            </w:r>
          </w:p>
        </w:tc>
      </w:tr>
      <w:tr w:rsidR="00111D94" w:rsidRPr="000B4B45" w:rsidTr="00892E6D">
        <w:trPr>
          <w:trHeight w:val="300"/>
        </w:trPr>
        <w:tc>
          <w:tcPr>
            <w:tcW w:w="825" w:type="dxa"/>
            <w:shd w:val="clear" w:color="auto" w:fill="auto"/>
            <w:noWrap/>
            <w:tcMar>
              <w:top w:w="10" w:type="dxa"/>
              <w:left w:w="10" w:type="dxa"/>
              <w:bottom w:w="0" w:type="dxa"/>
              <w:right w:w="10" w:type="dxa"/>
            </w:tcMar>
            <w:vAlign w:val="bottom"/>
            <w:hideMark/>
          </w:tcPr>
          <w:p w:rsidR="00111D94" w:rsidRPr="000B4B45" w:rsidRDefault="00111D94" w:rsidP="009F5941">
            <w:pPr>
              <w:pStyle w:val="Gridtext"/>
            </w:pPr>
            <w:r w:rsidRPr="000B4B45">
              <w:t>1</w:t>
            </w:r>
            <w:r w:rsidR="00BA7C49">
              <w:t>-24</w:t>
            </w:r>
          </w:p>
        </w:tc>
        <w:tc>
          <w:tcPr>
            <w:tcW w:w="2146" w:type="dxa"/>
            <w:shd w:val="clear" w:color="auto" w:fill="auto"/>
            <w:tcMar>
              <w:top w:w="10" w:type="dxa"/>
              <w:left w:w="10" w:type="dxa"/>
              <w:bottom w:w="0" w:type="dxa"/>
              <w:right w:w="10" w:type="dxa"/>
            </w:tcMar>
            <w:vAlign w:val="bottom"/>
            <w:hideMark/>
          </w:tcPr>
          <w:p w:rsidR="00111D94" w:rsidRDefault="00111D94" w:rsidP="00B91A3B">
            <w:pPr>
              <w:pStyle w:val="Gridtext"/>
              <w:rPr>
                <w:color w:val="000000"/>
              </w:rPr>
            </w:pPr>
            <w:r>
              <w:rPr>
                <w:color w:val="000000"/>
              </w:rPr>
              <w:t>Ethics</w:t>
            </w:r>
          </w:p>
        </w:tc>
        <w:tc>
          <w:tcPr>
            <w:tcW w:w="2862" w:type="dxa"/>
            <w:shd w:val="clear" w:color="auto" w:fill="auto"/>
            <w:tcMar>
              <w:top w:w="10" w:type="dxa"/>
              <w:left w:w="10" w:type="dxa"/>
              <w:bottom w:w="0" w:type="dxa"/>
              <w:right w:w="10" w:type="dxa"/>
            </w:tcMar>
            <w:vAlign w:val="bottom"/>
            <w:hideMark/>
          </w:tcPr>
          <w:p w:rsidR="00111D94" w:rsidRDefault="00111D94" w:rsidP="009F5941">
            <w:pPr>
              <w:pStyle w:val="Gridtext"/>
              <w:rPr>
                <w:color w:val="000000"/>
              </w:rPr>
            </w:pPr>
            <w:r>
              <w:rPr>
                <w:color w:val="000000"/>
              </w:rPr>
              <w:t>Ethics</w:t>
            </w:r>
          </w:p>
        </w:tc>
        <w:tc>
          <w:tcPr>
            <w:tcW w:w="288" w:type="dxa"/>
            <w:shd w:val="clear" w:color="auto" w:fill="auto"/>
            <w:tcMar>
              <w:top w:w="10" w:type="dxa"/>
              <w:left w:w="10" w:type="dxa"/>
              <w:bottom w:w="0" w:type="dxa"/>
              <w:right w:w="10" w:type="dxa"/>
            </w:tcMar>
            <w:vAlign w:val="bottom"/>
            <w:hideMark/>
          </w:tcPr>
          <w:p w:rsidR="00111D94" w:rsidRDefault="006E6D38" w:rsidP="00A415D1">
            <w:pPr>
              <w:pStyle w:val="Gridtext"/>
              <w:jc w:val="center"/>
              <w:rPr>
                <w:color w:val="000000"/>
              </w:rPr>
            </w:pPr>
            <w:r>
              <w:rPr>
                <w:color w:val="000000"/>
              </w:rPr>
              <w:t>7</w:t>
            </w:r>
          </w:p>
        </w:tc>
        <w:tc>
          <w:tcPr>
            <w:tcW w:w="717" w:type="dxa"/>
            <w:shd w:val="clear" w:color="auto" w:fill="auto"/>
            <w:noWrap/>
            <w:tcMar>
              <w:top w:w="10" w:type="dxa"/>
              <w:left w:w="10" w:type="dxa"/>
              <w:bottom w:w="0" w:type="dxa"/>
              <w:right w:w="10" w:type="dxa"/>
            </w:tcMar>
            <w:vAlign w:val="bottom"/>
            <w:hideMark/>
          </w:tcPr>
          <w:p w:rsidR="00111D94" w:rsidRPr="000B4B45" w:rsidRDefault="00111D94" w:rsidP="00B91A3B">
            <w:pPr>
              <w:pStyle w:val="Gridtext"/>
            </w:pPr>
          </w:p>
        </w:tc>
        <w:tc>
          <w:tcPr>
            <w:tcW w:w="1252"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Easy</w:t>
            </w:r>
          </w:p>
        </w:tc>
        <w:tc>
          <w:tcPr>
            <w:tcW w:w="431" w:type="dxa"/>
            <w:shd w:val="clear" w:color="auto" w:fill="auto"/>
            <w:noWrap/>
            <w:tcMar>
              <w:top w:w="10" w:type="dxa"/>
              <w:left w:w="10" w:type="dxa"/>
              <w:bottom w:w="0" w:type="dxa"/>
              <w:right w:w="10" w:type="dxa"/>
            </w:tcMar>
            <w:vAlign w:val="bottom"/>
            <w:hideMark/>
          </w:tcPr>
          <w:p w:rsidR="00111D94" w:rsidRDefault="00111D94" w:rsidP="00A415D1">
            <w:pPr>
              <w:pStyle w:val="Gridtext"/>
              <w:jc w:val="center"/>
              <w:rPr>
                <w:color w:val="000000"/>
              </w:rPr>
            </w:pPr>
            <w:r>
              <w:rPr>
                <w:color w:val="000000"/>
              </w:rPr>
              <w:t>5</w:t>
            </w:r>
          </w:p>
        </w:tc>
        <w:tc>
          <w:tcPr>
            <w:tcW w:w="1288"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Analytic</w:t>
            </w:r>
          </w:p>
        </w:tc>
        <w:tc>
          <w:tcPr>
            <w:tcW w:w="1432"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Measurement</w:t>
            </w:r>
          </w:p>
        </w:tc>
        <w:tc>
          <w:tcPr>
            <w:tcW w:w="1575"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Application</w:t>
            </w:r>
          </w:p>
        </w:tc>
      </w:tr>
      <w:tr w:rsidR="00111D94" w:rsidRPr="000B4B45" w:rsidTr="00892E6D">
        <w:trPr>
          <w:trHeight w:val="300"/>
        </w:trPr>
        <w:tc>
          <w:tcPr>
            <w:tcW w:w="825" w:type="dxa"/>
            <w:shd w:val="clear" w:color="auto" w:fill="auto"/>
            <w:noWrap/>
            <w:tcMar>
              <w:top w:w="10" w:type="dxa"/>
              <w:left w:w="10" w:type="dxa"/>
              <w:bottom w:w="0" w:type="dxa"/>
              <w:right w:w="10" w:type="dxa"/>
            </w:tcMar>
            <w:vAlign w:val="bottom"/>
            <w:hideMark/>
          </w:tcPr>
          <w:p w:rsidR="00111D94" w:rsidRPr="000B4B45" w:rsidRDefault="00111D94" w:rsidP="009F5941">
            <w:pPr>
              <w:pStyle w:val="Gridtext"/>
            </w:pPr>
            <w:r w:rsidRPr="000B4B45">
              <w:t>1</w:t>
            </w:r>
            <w:r w:rsidR="00BA7C49">
              <w:t>-25</w:t>
            </w:r>
            <w:r>
              <w:br/>
            </w:r>
          </w:p>
        </w:tc>
        <w:tc>
          <w:tcPr>
            <w:tcW w:w="2146" w:type="dxa"/>
            <w:shd w:val="clear" w:color="auto" w:fill="auto"/>
            <w:tcMar>
              <w:top w:w="10" w:type="dxa"/>
              <w:left w:w="10" w:type="dxa"/>
              <w:bottom w:w="0" w:type="dxa"/>
              <w:right w:w="10" w:type="dxa"/>
            </w:tcMar>
            <w:vAlign w:val="bottom"/>
            <w:hideMark/>
          </w:tcPr>
          <w:p w:rsidR="00111D94" w:rsidRDefault="00111D94" w:rsidP="00B91A3B">
            <w:pPr>
              <w:pStyle w:val="Gridtext"/>
              <w:rPr>
                <w:color w:val="000000"/>
              </w:rPr>
            </w:pPr>
            <w:r>
              <w:rPr>
                <w:color w:val="000000"/>
              </w:rPr>
              <w:t>Ethics</w:t>
            </w:r>
            <w:r>
              <w:rPr>
                <w:color w:val="000000"/>
              </w:rPr>
              <w:br/>
            </w:r>
          </w:p>
        </w:tc>
        <w:tc>
          <w:tcPr>
            <w:tcW w:w="2862" w:type="dxa"/>
            <w:shd w:val="clear" w:color="auto" w:fill="auto"/>
            <w:tcMar>
              <w:top w:w="10" w:type="dxa"/>
              <w:left w:w="10" w:type="dxa"/>
              <w:bottom w:w="0" w:type="dxa"/>
              <w:right w:w="10" w:type="dxa"/>
            </w:tcMar>
            <w:vAlign w:val="bottom"/>
            <w:hideMark/>
          </w:tcPr>
          <w:p w:rsidR="00111D94" w:rsidRDefault="00111D94" w:rsidP="00111D94">
            <w:pPr>
              <w:pStyle w:val="Gridtext"/>
              <w:rPr>
                <w:color w:val="000000"/>
              </w:rPr>
            </w:pPr>
            <w:r>
              <w:rPr>
                <w:color w:val="000000"/>
              </w:rPr>
              <w:t>Ethics; code of professional conduct</w:t>
            </w:r>
          </w:p>
        </w:tc>
        <w:tc>
          <w:tcPr>
            <w:tcW w:w="288" w:type="dxa"/>
            <w:shd w:val="clear" w:color="auto" w:fill="auto"/>
            <w:tcMar>
              <w:top w:w="10" w:type="dxa"/>
              <w:left w:w="10" w:type="dxa"/>
              <w:bottom w:w="0" w:type="dxa"/>
              <w:right w:w="10" w:type="dxa"/>
            </w:tcMar>
            <w:vAlign w:val="bottom"/>
            <w:hideMark/>
          </w:tcPr>
          <w:p w:rsidR="00111D94" w:rsidRDefault="006E6D38" w:rsidP="00A415D1">
            <w:pPr>
              <w:pStyle w:val="Gridtext"/>
              <w:jc w:val="center"/>
              <w:rPr>
                <w:color w:val="000000"/>
              </w:rPr>
            </w:pPr>
            <w:r>
              <w:rPr>
                <w:color w:val="000000"/>
              </w:rPr>
              <w:t>7</w:t>
            </w:r>
            <w:r w:rsidR="00111D94">
              <w:rPr>
                <w:color w:val="000000"/>
              </w:rPr>
              <w:br/>
            </w:r>
          </w:p>
        </w:tc>
        <w:tc>
          <w:tcPr>
            <w:tcW w:w="717" w:type="dxa"/>
            <w:shd w:val="clear" w:color="auto" w:fill="auto"/>
            <w:noWrap/>
            <w:tcMar>
              <w:top w:w="10" w:type="dxa"/>
              <w:left w:w="10" w:type="dxa"/>
              <w:bottom w:w="0" w:type="dxa"/>
              <w:right w:w="10" w:type="dxa"/>
            </w:tcMar>
            <w:vAlign w:val="bottom"/>
            <w:hideMark/>
          </w:tcPr>
          <w:p w:rsidR="00111D94" w:rsidRPr="000B4B45" w:rsidRDefault="00111D94" w:rsidP="00B91A3B">
            <w:pPr>
              <w:pStyle w:val="Gridtext"/>
            </w:pPr>
          </w:p>
        </w:tc>
        <w:tc>
          <w:tcPr>
            <w:tcW w:w="1252"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Easy</w:t>
            </w:r>
            <w:r>
              <w:rPr>
                <w:color w:val="000000"/>
              </w:rPr>
              <w:br/>
            </w:r>
          </w:p>
        </w:tc>
        <w:tc>
          <w:tcPr>
            <w:tcW w:w="431" w:type="dxa"/>
            <w:shd w:val="clear" w:color="auto" w:fill="auto"/>
            <w:noWrap/>
            <w:tcMar>
              <w:top w:w="10" w:type="dxa"/>
              <w:left w:w="10" w:type="dxa"/>
              <w:bottom w:w="0" w:type="dxa"/>
              <w:right w:w="10" w:type="dxa"/>
            </w:tcMar>
            <w:vAlign w:val="bottom"/>
            <w:hideMark/>
          </w:tcPr>
          <w:p w:rsidR="00111D94" w:rsidRDefault="00111D94" w:rsidP="00A415D1">
            <w:pPr>
              <w:pStyle w:val="Gridtext"/>
              <w:jc w:val="center"/>
              <w:rPr>
                <w:color w:val="000000"/>
              </w:rPr>
            </w:pPr>
            <w:r>
              <w:rPr>
                <w:color w:val="000000"/>
              </w:rPr>
              <w:t>5</w:t>
            </w:r>
            <w:r>
              <w:rPr>
                <w:color w:val="000000"/>
              </w:rPr>
              <w:br/>
            </w:r>
          </w:p>
        </w:tc>
        <w:tc>
          <w:tcPr>
            <w:tcW w:w="1288"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Analytic</w:t>
            </w:r>
            <w:r>
              <w:rPr>
                <w:color w:val="000000"/>
              </w:rPr>
              <w:br/>
            </w:r>
          </w:p>
        </w:tc>
        <w:tc>
          <w:tcPr>
            <w:tcW w:w="1432"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Measurement</w:t>
            </w:r>
            <w:r>
              <w:rPr>
                <w:color w:val="000000"/>
              </w:rPr>
              <w:br/>
            </w:r>
          </w:p>
        </w:tc>
        <w:tc>
          <w:tcPr>
            <w:tcW w:w="1575" w:type="dxa"/>
            <w:shd w:val="clear" w:color="auto" w:fill="auto"/>
            <w:noWrap/>
            <w:tcMar>
              <w:top w:w="10" w:type="dxa"/>
              <w:left w:w="10" w:type="dxa"/>
              <w:bottom w:w="0" w:type="dxa"/>
              <w:right w:w="10" w:type="dxa"/>
            </w:tcMar>
            <w:vAlign w:val="bottom"/>
            <w:hideMark/>
          </w:tcPr>
          <w:p w:rsidR="00111D94" w:rsidRDefault="00111D94" w:rsidP="00B91A3B">
            <w:pPr>
              <w:pStyle w:val="Gridtext"/>
              <w:rPr>
                <w:color w:val="000000"/>
              </w:rPr>
            </w:pPr>
            <w:r>
              <w:rPr>
                <w:color w:val="000000"/>
              </w:rPr>
              <w:t>Comprehension</w:t>
            </w:r>
            <w:r>
              <w:rPr>
                <w:color w:val="000000"/>
              </w:rPr>
              <w:br/>
            </w:r>
          </w:p>
        </w:tc>
      </w:tr>
    </w:tbl>
    <w:p w:rsidR="00004942" w:rsidRDefault="00004942">
      <w:r>
        <w:rPr>
          <w:b/>
          <w:smallCaps/>
        </w:rPr>
        <w:br w:type="page"/>
      </w:r>
    </w:p>
    <w:tbl>
      <w:tblPr>
        <w:tblW w:w="12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825"/>
        <w:gridCol w:w="2146"/>
        <w:gridCol w:w="2862"/>
        <w:gridCol w:w="288"/>
        <w:gridCol w:w="717"/>
        <w:gridCol w:w="1252"/>
        <w:gridCol w:w="431"/>
        <w:gridCol w:w="1288"/>
        <w:gridCol w:w="1432"/>
        <w:gridCol w:w="1575"/>
      </w:tblGrid>
      <w:tr w:rsidR="00004942" w:rsidRPr="00F06876" w:rsidTr="00892E6D">
        <w:trPr>
          <w:trHeight w:val="300"/>
        </w:trPr>
        <w:tc>
          <w:tcPr>
            <w:tcW w:w="825" w:type="dxa"/>
            <w:shd w:val="clear" w:color="auto" w:fill="auto"/>
            <w:noWrap/>
            <w:tcMar>
              <w:top w:w="10" w:type="dxa"/>
              <w:left w:w="10" w:type="dxa"/>
              <w:bottom w:w="0" w:type="dxa"/>
              <w:right w:w="10" w:type="dxa"/>
            </w:tcMar>
            <w:vAlign w:val="bottom"/>
            <w:hideMark/>
          </w:tcPr>
          <w:p w:rsidR="00004942" w:rsidRPr="00F06876" w:rsidRDefault="00004942" w:rsidP="0012553A">
            <w:pPr>
              <w:pStyle w:val="Gridtextheads"/>
            </w:pPr>
            <w:r w:rsidRPr="00F06876">
              <w:lastRenderedPageBreak/>
              <w:t>Number</w:t>
            </w:r>
          </w:p>
        </w:tc>
        <w:tc>
          <w:tcPr>
            <w:tcW w:w="2146" w:type="dxa"/>
            <w:shd w:val="clear" w:color="auto" w:fill="auto"/>
            <w:tcMar>
              <w:top w:w="10" w:type="dxa"/>
              <w:left w:w="10" w:type="dxa"/>
              <w:bottom w:w="0" w:type="dxa"/>
              <w:right w:w="10" w:type="dxa"/>
            </w:tcMar>
            <w:vAlign w:val="bottom"/>
            <w:hideMark/>
          </w:tcPr>
          <w:p w:rsidR="00004942" w:rsidRPr="00F06876" w:rsidRDefault="00004942" w:rsidP="0012553A">
            <w:pPr>
              <w:pStyle w:val="Gridtextheads"/>
            </w:pPr>
            <w:r w:rsidRPr="00F06876">
              <w:t>Topic</w:t>
            </w:r>
          </w:p>
        </w:tc>
        <w:tc>
          <w:tcPr>
            <w:tcW w:w="2862" w:type="dxa"/>
            <w:shd w:val="clear" w:color="auto" w:fill="auto"/>
            <w:tcMar>
              <w:top w:w="10" w:type="dxa"/>
              <w:left w:w="10" w:type="dxa"/>
              <w:bottom w:w="0" w:type="dxa"/>
              <w:right w:w="10" w:type="dxa"/>
            </w:tcMar>
            <w:vAlign w:val="bottom"/>
            <w:hideMark/>
          </w:tcPr>
          <w:p w:rsidR="00004942" w:rsidRPr="00F06876" w:rsidRDefault="00004942" w:rsidP="0012553A">
            <w:pPr>
              <w:pStyle w:val="Gridtextheads"/>
            </w:pPr>
            <w:r w:rsidRPr="00F06876">
              <w:t>Content</w:t>
            </w:r>
          </w:p>
        </w:tc>
        <w:tc>
          <w:tcPr>
            <w:tcW w:w="288" w:type="dxa"/>
            <w:shd w:val="clear" w:color="auto" w:fill="auto"/>
            <w:tcMar>
              <w:top w:w="10" w:type="dxa"/>
              <w:left w:w="10" w:type="dxa"/>
              <w:bottom w:w="0" w:type="dxa"/>
              <w:right w:w="10" w:type="dxa"/>
            </w:tcMar>
            <w:vAlign w:val="bottom"/>
            <w:hideMark/>
          </w:tcPr>
          <w:p w:rsidR="00004942" w:rsidRPr="00F06876" w:rsidRDefault="00004942" w:rsidP="008D0BB2">
            <w:pPr>
              <w:pStyle w:val="Gridtextheads"/>
            </w:pPr>
            <w:r w:rsidRPr="00F06876">
              <w:t>LO</w:t>
            </w:r>
          </w:p>
        </w:tc>
        <w:tc>
          <w:tcPr>
            <w:tcW w:w="717" w:type="dxa"/>
            <w:shd w:val="clear" w:color="auto" w:fill="auto"/>
            <w:noWrap/>
            <w:tcMar>
              <w:top w:w="10" w:type="dxa"/>
              <w:left w:w="10" w:type="dxa"/>
              <w:bottom w:w="0" w:type="dxa"/>
              <w:right w:w="10" w:type="dxa"/>
            </w:tcMar>
            <w:vAlign w:val="bottom"/>
            <w:hideMark/>
          </w:tcPr>
          <w:p w:rsidR="00004942" w:rsidRPr="00F06876" w:rsidRDefault="00004942" w:rsidP="0012553A">
            <w:pPr>
              <w:pStyle w:val="Gridtextheads"/>
            </w:pPr>
            <w:r w:rsidRPr="00F06876">
              <w:t>Adapted</w:t>
            </w:r>
          </w:p>
        </w:tc>
        <w:tc>
          <w:tcPr>
            <w:tcW w:w="1252" w:type="dxa"/>
            <w:shd w:val="clear" w:color="auto" w:fill="auto"/>
            <w:noWrap/>
            <w:tcMar>
              <w:top w:w="10" w:type="dxa"/>
              <w:left w:w="10" w:type="dxa"/>
              <w:bottom w:w="0" w:type="dxa"/>
              <w:right w:w="10" w:type="dxa"/>
            </w:tcMar>
            <w:vAlign w:val="bottom"/>
            <w:hideMark/>
          </w:tcPr>
          <w:p w:rsidR="00004942" w:rsidRPr="00F06876" w:rsidRDefault="00004942" w:rsidP="0012553A">
            <w:pPr>
              <w:pStyle w:val="Gridtextheads"/>
            </w:pPr>
            <w:r w:rsidRPr="00F06876">
              <w:t>Difficulty</w:t>
            </w:r>
          </w:p>
        </w:tc>
        <w:tc>
          <w:tcPr>
            <w:tcW w:w="431" w:type="dxa"/>
            <w:shd w:val="clear" w:color="auto" w:fill="auto"/>
            <w:noWrap/>
            <w:tcMar>
              <w:top w:w="10" w:type="dxa"/>
              <w:left w:w="10" w:type="dxa"/>
              <w:bottom w:w="0" w:type="dxa"/>
              <w:right w:w="10" w:type="dxa"/>
            </w:tcMar>
            <w:vAlign w:val="bottom"/>
            <w:hideMark/>
          </w:tcPr>
          <w:p w:rsidR="00004942" w:rsidRPr="00F06876" w:rsidRDefault="00004942" w:rsidP="008D0BB2">
            <w:pPr>
              <w:pStyle w:val="Gridtextheads"/>
            </w:pPr>
            <w:r w:rsidRPr="00F06876">
              <w:t>Time</w:t>
            </w:r>
            <w:r>
              <w:br/>
            </w:r>
            <w:r w:rsidRPr="00F06876">
              <w:t>Est</w:t>
            </w:r>
            <w:r>
              <w:t>.</w:t>
            </w:r>
          </w:p>
        </w:tc>
        <w:tc>
          <w:tcPr>
            <w:tcW w:w="1288" w:type="dxa"/>
            <w:shd w:val="clear" w:color="auto" w:fill="auto"/>
            <w:noWrap/>
            <w:tcMar>
              <w:top w:w="10" w:type="dxa"/>
              <w:left w:w="10" w:type="dxa"/>
              <w:bottom w:w="0" w:type="dxa"/>
              <w:right w:w="10" w:type="dxa"/>
            </w:tcMar>
            <w:vAlign w:val="bottom"/>
            <w:hideMark/>
          </w:tcPr>
          <w:p w:rsidR="00004942" w:rsidRPr="00F06876" w:rsidRDefault="00004942" w:rsidP="0012553A">
            <w:pPr>
              <w:pStyle w:val="Gridtextheads"/>
            </w:pPr>
            <w:r w:rsidRPr="00F06876">
              <w:t>AACSB</w:t>
            </w:r>
          </w:p>
        </w:tc>
        <w:tc>
          <w:tcPr>
            <w:tcW w:w="1432" w:type="dxa"/>
            <w:shd w:val="clear" w:color="auto" w:fill="auto"/>
            <w:noWrap/>
            <w:tcMar>
              <w:top w:w="10" w:type="dxa"/>
              <w:left w:w="10" w:type="dxa"/>
              <w:bottom w:w="0" w:type="dxa"/>
              <w:right w:w="10" w:type="dxa"/>
            </w:tcMar>
            <w:vAlign w:val="bottom"/>
            <w:hideMark/>
          </w:tcPr>
          <w:p w:rsidR="00004942" w:rsidRPr="00F06876" w:rsidRDefault="00004942" w:rsidP="0012553A">
            <w:pPr>
              <w:pStyle w:val="Gridtextheads"/>
            </w:pPr>
            <w:r w:rsidRPr="00F06876">
              <w:t>AICPA</w:t>
            </w:r>
          </w:p>
        </w:tc>
        <w:tc>
          <w:tcPr>
            <w:tcW w:w="1575" w:type="dxa"/>
            <w:shd w:val="clear" w:color="auto" w:fill="auto"/>
            <w:noWrap/>
            <w:tcMar>
              <w:top w:w="10" w:type="dxa"/>
              <w:left w:w="10" w:type="dxa"/>
              <w:bottom w:w="0" w:type="dxa"/>
              <w:right w:w="10" w:type="dxa"/>
            </w:tcMar>
            <w:vAlign w:val="bottom"/>
            <w:hideMark/>
          </w:tcPr>
          <w:p w:rsidR="00004942" w:rsidRPr="00F06876" w:rsidRDefault="00004942" w:rsidP="0012553A">
            <w:pPr>
              <w:pStyle w:val="Gridtextheads"/>
            </w:pPr>
            <w:r w:rsidRPr="00F06876">
              <w:t>Bloom’s</w:t>
            </w:r>
          </w:p>
        </w:tc>
      </w:tr>
      <w:tr w:rsidR="00892E6D" w:rsidRPr="000B4B45" w:rsidTr="00892E6D">
        <w:trPr>
          <w:trHeight w:val="300"/>
        </w:trPr>
        <w:tc>
          <w:tcPr>
            <w:tcW w:w="825" w:type="dxa"/>
            <w:shd w:val="clear" w:color="auto" w:fill="auto"/>
            <w:noWrap/>
            <w:tcMar>
              <w:top w:w="10" w:type="dxa"/>
              <w:left w:w="10" w:type="dxa"/>
              <w:bottom w:w="0" w:type="dxa"/>
              <w:right w:w="10" w:type="dxa"/>
            </w:tcMar>
            <w:vAlign w:val="bottom"/>
            <w:hideMark/>
          </w:tcPr>
          <w:p w:rsidR="00892E6D" w:rsidRPr="000B4B45" w:rsidRDefault="00892E6D" w:rsidP="00716618">
            <w:pPr>
              <w:pStyle w:val="Gridtext"/>
            </w:pPr>
            <w:r>
              <w:t>E1-1</w:t>
            </w:r>
            <w:r>
              <w:br/>
            </w:r>
            <w:r>
              <w:br/>
            </w:r>
          </w:p>
        </w:tc>
        <w:tc>
          <w:tcPr>
            <w:tcW w:w="2146" w:type="dxa"/>
            <w:shd w:val="clear" w:color="auto" w:fill="auto"/>
            <w:tcMar>
              <w:top w:w="10" w:type="dxa"/>
              <w:left w:w="10" w:type="dxa"/>
              <w:bottom w:w="0" w:type="dxa"/>
              <w:right w:w="10" w:type="dxa"/>
            </w:tcMar>
            <w:vAlign w:val="bottom"/>
            <w:hideMark/>
          </w:tcPr>
          <w:p w:rsidR="00892E6D" w:rsidRDefault="00892E6D" w:rsidP="00716618">
            <w:pPr>
              <w:pStyle w:val="Gridtext"/>
              <w:rPr>
                <w:color w:val="000000"/>
              </w:rPr>
            </w:pPr>
            <w:r>
              <w:rPr>
                <w:color w:val="000000"/>
              </w:rPr>
              <w:t>Pronouncements</w:t>
            </w:r>
            <w:r>
              <w:rPr>
                <w:color w:val="000000"/>
              </w:rPr>
              <w:br/>
            </w:r>
            <w:r>
              <w:rPr>
                <w:color w:val="000000"/>
              </w:rPr>
              <w:br/>
            </w:r>
          </w:p>
        </w:tc>
        <w:tc>
          <w:tcPr>
            <w:tcW w:w="2862" w:type="dxa"/>
            <w:shd w:val="clear" w:color="auto" w:fill="auto"/>
            <w:tcMar>
              <w:top w:w="10" w:type="dxa"/>
              <w:left w:w="10" w:type="dxa"/>
              <w:bottom w:w="0" w:type="dxa"/>
              <w:right w:w="10" w:type="dxa"/>
            </w:tcMar>
            <w:vAlign w:val="bottom"/>
            <w:hideMark/>
          </w:tcPr>
          <w:p w:rsidR="00892E6D" w:rsidRDefault="00892E6D" w:rsidP="00716618">
            <w:pPr>
              <w:pStyle w:val="Gridtext"/>
              <w:rPr>
                <w:color w:val="000000"/>
              </w:rPr>
            </w:pPr>
            <w:r>
              <w:rPr>
                <w:color w:val="000000"/>
              </w:rPr>
              <w:t xml:space="preserve">FASB </w:t>
            </w:r>
            <w:r w:rsidR="007945B5">
              <w:rPr>
                <w:color w:val="000000"/>
              </w:rPr>
              <w:t>A</w:t>
            </w:r>
            <w:r>
              <w:rPr>
                <w:color w:val="000000"/>
              </w:rPr>
              <w:t xml:space="preserve">ccounting </w:t>
            </w:r>
            <w:r w:rsidR="007945B5">
              <w:rPr>
                <w:color w:val="000000"/>
              </w:rPr>
              <w:t>S</w:t>
            </w:r>
            <w:r>
              <w:rPr>
                <w:color w:val="000000"/>
              </w:rPr>
              <w:t xml:space="preserve">tandards </w:t>
            </w:r>
            <w:r w:rsidR="007945B5">
              <w:rPr>
                <w:color w:val="000000"/>
              </w:rPr>
              <w:t>C</w:t>
            </w:r>
            <w:r>
              <w:rPr>
                <w:color w:val="000000"/>
              </w:rPr>
              <w:t>odification; different sources of GAAP</w:t>
            </w:r>
          </w:p>
        </w:tc>
        <w:tc>
          <w:tcPr>
            <w:tcW w:w="288" w:type="dxa"/>
            <w:shd w:val="clear" w:color="auto" w:fill="auto"/>
            <w:tcMar>
              <w:top w:w="10" w:type="dxa"/>
              <w:left w:w="10" w:type="dxa"/>
              <w:bottom w:w="0" w:type="dxa"/>
              <w:right w:w="10" w:type="dxa"/>
            </w:tcMar>
            <w:vAlign w:val="bottom"/>
            <w:hideMark/>
          </w:tcPr>
          <w:p w:rsidR="00892E6D" w:rsidRDefault="005614E4" w:rsidP="00716618">
            <w:pPr>
              <w:pStyle w:val="Gridtext"/>
              <w:jc w:val="center"/>
              <w:rPr>
                <w:color w:val="000000"/>
              </w:rPr>
            </w:pPr>
            <w:r>
              <w:rPr>
                <w:color w:val="000000"/>
              </w:rPr>
              <w:t>4</w:t>
            </w:r>
            <w:r w:rsidR="00892E6D">
              <w:rPr>
                <w:color w:val="000000"/>
              </w:rPr>
              <w:br/>
            </w:r>
            <w:r w:rsidR="00892E6D">
              <w:rPr>
                <w:color w:val="000000"/>
              </w:rPr>
              <w:br/>
            </w:r>
          </w:p>
        </w:tc>
        <w:tc>
          <w:tcPr>
            <w:tcW w:w="717" w:type="dxa"/>
            <w:shd w:val="clear" w:color="auto" w:fill="auto"/>
            <w:noWrap/>
            <w:tcMar>
              <w:top w:w="10" w:type="dxa"/>
              <w:left w:w="10" w:type="dxa"/>
              <w:bottom w:w="0" w:type="dxa"/>
              <w:right w:w="10" w:type="dxa"/>
            </w:tcMar>
            <w:vAlign w:val="bottom"/>
            <w:hideMark/>
          </w:tcPr>
          <w:p w:rsidR="00892E6D" w:rsidRPr="000B4B45" w:rsidRDefault="00892E6D" w:rsidP="00716618">
            <w:pPr>
              <w:pStyle w:val="Gridtext"/>
            </w:pPr>
          </w:p>
        </w:tc>
        <w:tc>
          <w:tcPr>
            <w:tcW w:w="1252" w:type="dxa"/>
            <w:shd w:val="clear" w:color="auto" w:fill="auto"/>
            <w:noWrap/>
            <w:tcMar>
              <w:top w:w="10" w:type="dxa"/>
              <w:left w:w="10" w:type="dxa"/>
              <w:bottom w:w="0" w:type="dxa"/>
              <w:right w:w="10" w:type="dxa"/>
            </w:tcMar>
            <w:vAlign w:val="bottom"/>
            <w:hideMark/>
          </w:tcPr>
          <w:p w:rsidR="00892E6D" w:rsidRDefault="00892E6D" w:rsidP="00716618">
            <w:pPr>
              <w:pStyle w:val="Gridtext"/>
              <w:rPr>
                <w:color w:val="000000"/>
              </w:rPr>
            </w:pPr>
            <w:r>
              <w:rPr>
                <w:color w:val="000000"/>
              </w:rPr>
              <w:t>Easy</w:t>
            </w:r>
            <w:r>
              <w:rPr>
                <w:color w:val="000000"/>
              </w:rPr>
              <w:br/>
            </w:r>
            <w:r>
              <w:rPr>
                <w:color w:val="000000"/>
              </w:rPr>
              <w:br/>
            </w:r>
          </w:p>
        </w:tc>
        <w:tc>
          <w:tcPr>
            <w:tcW w:w="431" w:type="dxa"/>
            <w:shd w:val="clear" w:color="auto" w:fill="auto"/>
            <w:noWrap/>
            <w:tcMar>
              <w:top w:w="10" w:type="dxa"/>
              <w:left w:w="10" w:type="dxa"/>
              <w:bottom w:w="0" w:type="dxa"/>
              <w:right w:w="10" w:type="dxa"/>
            </w:tcMar>
            <w:vAlign w:val="bottom"/>
            <w:hideMark/>
          </w:tcPr>
          <w:p w:rsidR="00892E6D" w:rsidRDefault="00892E6D" w:rsidP="00716618">
            <w:pPr>
              <w:pStyle w:val="Gridtext"/>
              <w:jc w:val="center"/>
              <w:rPr>
                <w:color w:val="000000"/>
              </w:rPr>
            </w:pPr>
            <w:r>
              <w:rPr>
                <w:color w:val="000000"/>
              </w:rPr>
              <w:t>15</w:t>
            </w:r>
            <w:r>
              <w:rPr>
                <w:color w:val="000000"/>
              </w:rPr>
              <w:br/>
            </w:r>
            <w:r>
              <w:rPr>
                <w:color w:val="000000"/>
              </w:rPr>
              <w:br/>
            </w:r>
          </w:p>
        </w:tc>
        <w:tc>
          <w:tcPr>
            <w:tcW w:w="1288" w:type="dxa"/>
            <w:shd w:val="clear" w:color="auto" w:fill="auto"/>
            <w:noWrap/>
            <w:tcMar>
              <w:top w:w="10" w:type="dxa"/>
              <w:left w:w="10" w:type="dxa"/>
              <w:bottom w:w="0" w:type="dxa"/>
              <w:right w:w="10" w:type="dxa"/>
            </w:tcMar>
            <w:vAlign w:val="bottom"/>
            <w:hideMark/>
          </w:tcPr>
          <w:p w:rsidR="00892E6D" w:rsidRDefault="00892E6D" w:rsidP="00716618">
            <w:pPr>
              <w:pStyle w:val="Gridtext"/>
              <w:rPr>
                <w:color w:val="000000"/>
              </w:rPr>
            </w:pPr>
            <w:r>
              <w:rPr>
                <w:color w:val="000000"/>
              </w:rPr>
              <w:t>Analytic</w:t>
            </w:r>
            <w:r>
              <w:rPr>
                <w:color w:val="000000"/>
              </w:rPr>
              <w:br/>
            </w:r>
            <w:r>
              <w:rPr>
                <w:color w:val="000000"/>
              </w:rPr>
              <w:br/>
            </w:r>
          </w:p>
        </w:tc>
        <w:tc>
          <w:tcPr>
            <w:tcW w:w="1432" w:type="dxa"/>
            <w:shd w:val="clear" w:color="auto" w:fill="auto"/>
            <w:noWrap/>
            <w:tcMar>
              <w:top w:w="10" w:type="dxa"/>
              <w:left w:w="10" w:type="dxa"/>
              <w:bottom w:w="0" w:type="dxa"/>
              <w:right w:w="10" w:type="dxa"/>
            </w:tcMar>
            <w:vAlign w:val="bottom"/>
            <w:hideMark/>
          </w:tcPr>
          <w:p w:rsidR="00892E6D" w:rsidRDefault="00892E6D" w:rsidP="00716618">
            <w:pPr>
              <w:pStyle w:val="Gridtext"/>
              <w:rPr>
                <w:color w:val="000000"/>
              </w:rPr>
            </w:pPr>
            <w:r>
              <w:rPr>
                <w:color w:val="000000"/>
              </w:rPr>
              <w:t>Measurement</w:t>
            </w:r>
            <w:r>
              <w:rPr>
                <w:color w:val="000000"/>
              </w:rPr>
              <w:br/>
            </w:r>
            <w:r>
              <w:rPr>
                <w:color w:val="000000"/>
              </w:rPr>
              <w:br/>
            </w:r>
          </w:p>
        </w:tc>
        <w:tc>
          <w:tcPr>
            <w:tcW w:w="1575" w:type="dxa"/>
            <w:shd w:val="clear" w:color="auto" w:fill="auto"/>
            <w:noWrap/>
            <w:tcMar>
              <w:top w:w="10" w:type="dxa"/>
              <w:left w:w="10" w:type="dxa"/>
              <w:bottom w:w="0" w:type="dxa"/>
              <w:right w:w="10" w:type="dxa"/>
            </w:tcMar>
            <w:vAlign w:val="bottom"/>
            <w:hideMark/>
          </w:tcPr>
          <w:p w:rsidR="00892E6D" w:rsidRDefault="00892E6D" w:rsidP="00716618">
            <w:pPr>
              <w:pStyle w:val="Gridtext"/>
              <w:rPr>
                <w:color w:val="000000"/>
              </w:rPr>
            </w:pPr>
            <w:r>
              <w:rPr>
                <w:color w:val="000000"/>
              </w:rPr>
              <w:t>Comprehension</w:t>
            </w:r>
            <w:r>
              <w:rPr>
                <w:color w:val="000000"/>
              </w:rPr>
              <w:br/>
            </w:r>
            <w:r>
              <w:rPr>
                <w:color w:val="000000"/>
              </w:rPr>
              <w:br/>
            </w:r>
          </w:p>
        </w:tc>
      </w:tr>
      <w:tr w:rsidR="00111D94" w:rsidRPr="000B4B45" w:rsidTr="00892E6D">
        <w:trPr>
          <w:trHeight w:val="300"/>
        </w:trPr>
        <w:tc>
          <w:tcPr>
            <w:tcW w:w="825" w:type="dxa"/>
            <w:shd w:val="clear" w:color="auto" w:fill="auto"/>
            <w:noWrap/>
            <w:tcMar>
              <w:top w:w="10" w:type="dxa"/>
              <w:left w:w="10" w:type="dxa"/>
              <w:bottom w:w="0" w:type="dxa"/>
              <w:right w:w="10" w:type="dxa"/>
            </w:tcMar>
            <w:vAlign w:val="bottom"/>
            <w:hideMark/>
          </w:tcPr>
          <w:p w:rsidR="00111D94" w:rsidRPr="000B4B45" w:rsidRDefault="00E4588E" w:rsidP="009F5941">
            <w:pPr>
              <w:pStyle w:val="Gridtext"/>
            </w:pPr>
            <w:r>
              <w:t>C1-1</w:t>
            </w:r>
            <w:r w:rsidR="00FD0EC2">
              <w:br/>
            </w:r>
            <w:r w:rsidR="00892E6D">
              <w:br/>
            </w:r>
            <w:r w:rsidR="00FD0EC2">
              <w:br/>
            </w:r>
          </w:p>
        </w:tc>
        <w:tc>
          <w:tcPr>
            <w:tcW w:w="2146" w:type="dxa"/>
            <w:shd w:val="clear" w:color="auto" w:fill="auto"/>
            <w:tcMar>
              <w:top w:w="10" w:type="dxa"/>
              <w:left w:w="10" w:type="dxa"/>
              <w:bottom w:w="0" w:type="dxa"/>
              <w:right w:w="10" w:type="dxa"/>
            </w:tcMar>
            <w:vAlign w:val="bottom"/>
            <w:hideMark/>
          </w:tcPr>
          <w:p w:rsidR="00111D94" w:rsidRDefault="00E4588E" w:rsidP="00B91A3B">
            <w:pPr>
              <w:pStyle w:val="Gridtext"/>
              <w:rPr>
                <w:color w:val="000000"/>
              </w:rPr>
            </w:pPr>
            <w:r>
              <w:rPr>
                <w:color w:val="000000"/>
              </w:rPr>
              <w:t>Accounting Principles</w:t>
            </w:r>
            <w:r w:rsidR="00FD0EC2">
              <w:rPr>
                <w:color w:val="000000"/>
              </w:rPr>
              <w:br/>
            </w:r>
            <w:r w:rsidR="00892E6D">
              <w:rPr>
                <w:color w:val="000000"/>
              </w:rPr>
              <w:br/>
            </w:r>
            <w:r w:rsidR="00FD0EC2">
              <w:rPr>
                <w:color w:val="000000"/>
              </w:rPr>
              <w:br/>
            </w:r>
          </w:p>
        </w:tc>
        <w:tc>
          <w:tcPr>
            <w:tcW w:w="2862" w:type="dxa"/>
            <w:shd w:val="clear" w:color="auto" w:fill="auto"/>
            <w:tcMar>
              <w:top w:w="10" w:type="dxa"/>
              <w:left w:w="10" w:type="dxa"/>
              <w:bottom w:w="0" w:type="dxa"/>
              <w:right w:w="10" w:type="dxa"/>
            </w:tcMar>
            <w:vAlign w:val="bottom"/>
            <w:hideMark/>
          </w:tcPr>
          <w:p w:rsidR="00111D94" w:rsidRDefault="00004942" w:rsidP="00004942">
            <w:pPr>
              <w:pStyle w:val="Gridtext"/>
              <w:rPr>
                <w:color w:val="000000"/>
              </w:rPr>
            </w:pPr>
            <w:r>
              <w:rPr>
                <w:color w:val="000000"/>
              </w:rPr>
              <w:t>Describe the meaning of the terms “accounting principles” and “generally accepted”</w:t>
            </w:r>
          </w:p>
        </w:tc>
        <w:tc>
          <w:tcPr>
            <w:tcW w:w="288" w:type="dxa"/>
            <w:shd w:val="clear" w:color="auto" w:fill="auto"/>
            <w:tcMar>
              <w:top w:w="10" w:type="dxa"/>
              <w:left w:w="10" w:type="dxa"/>
              <w:bottom w:w="0" w:type="dxa"/>
              <w:right w:w="10" w:type="dxa"/>
            </w:tcMar>
            <w:vAlign w:val="bottom"/>
            <w:hideMark/>
          </w:tcPr>
          <w:p w:rsidR="00111D94" w:rsidRDefault="005614E4" w:rsidP="005614E4">
            <w:pPr>
              <w:pStyle w:val="Gridtext"/>
              <w:jc w:val="center"/>
              <w:rPr>
                <w:color w:val="000000"/>
              </w:rPr>
            </w:pPr>
            <w:r>
              <w:rPr>
                <w:color w:val="000000"/>
              </w:rPr>
              <w:t>3</w:t>
            </w:r>
            <w:r w:rsidR="009568BF">
              <w:rPr>
                <w:color w:val="000000"/>
              </w:rPr>
              <w:br/>
            </w:r>
            <w:r w:rsidR="00FD0EC2">
              <w:rPr>
                <w:color w:val="000000"/>
              </w:rPr>
              <w:br/>
            </w:r>
            <w:r w:rsidR="00892E6D">
              <w:rPr>
                <w:color w:val="000000"/>
              </w:rPr>
              <w:br/>
            </w:r>
          </w:p>
        </w:tc>
        <w:tc>
          <w:tcPr>
            <w:tcW w:w="717" w:type="dxa"/>
            <w:shd w:val="clear" w:color="auto" w:fill="auto"/>
            <w:noWrap/>
            <w:tcMar>
              <w:top w:w="10" w:type="dxa"/>
              <w:left w:w="10" w:type="dxa"/>
              <w:bottom w:w="0" w:type="dxa"/>
              <w:right w:w="10" w:type="dxa"/>
            </w:tcMar>
            <w:vAlign w:val="bottom"/>
            <w:hideMark/>
          </w:tcPr>
          <w:p w:rsidR="00111D94" w:rsidRPr="000B4B45" w:rsidRDefault="00004942" w:rsidP="00B91A3B">
            <w:pPr>
              <w:pStyle w:val="Gridtext"/>
            </w:pPr>
            <w:r>
              <w:rPr>
                <w:color w:val="000000"/>
              </w:rPr>
              <w:t>AICPA</w:t>
            </w:r>
            <w:r w:rsidR="00FD0EC2">
              <w:rPr>
                <w:color w:val="000000"/>
              </w:rPr>
              <w:br/>
            </w:r>
            <w:r w:rsidR="00892E6D">
              <w:rPr>
                <w:color w:val="000000"/>
              </w:rPr>
              <w:br/>
            </w:r>
            <w:r w:rsidR="00FD0EC2">
              <w:rPr>
                <w:color w:val="000000"/>
              </w:rPr>
              <w:br/>
            </w:r>
          </w:p>
        </w:tc>
        <w:tc>
          <w:tcPr>
            <w:tcW w:w="1252"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Easy</w:t>
            </w:r>
            <w:r w:rsidR="00FD0EC2">
              <w:rPr>
                <w:color w:val="000000"/>
              </w:rPr>
              <w:br/>
            </w:r>
            <w:r w:rsidR="00892E6D">
              <w:rPr>
                <w:color w:val="000000"/>
              </w:rPr>
              <w:br/>
            </w:r>
            <w:r w:rsidR="00FD0EC2">
              <w:rPr>
                <w:color w:val="000000"/>
              </w:rPr>
              <w:br/>
            </w:r>
          </w:p>
        </w:tc>
        <w:tc>
          <w:tcPr>
            <w:tcW w:w="431" w:type="dxa"/>
            <w:shd w:val="clear" w:color="auto" w:fill="auto"/>
            <w:noWrap/>
            <w:tcMar>
              <w:top w:w="10" w:type="dxa"/>
              <w:left w:w="10" w:type="dxa"/>
              <w:bottom w:w="0" w:type="dxa"/>
              <w:right w:w="10" w:type="dxa"/>
            </w:tcMar>
            <w:vAlign w:val="bottom"/>
            <w:hideMark/>
          </w:tcPr>
          <w:p w:rsidR="00111D94" w:rsidRDefault="00004942" w:rsidP="008D0BB2">
            <w:pPr>
              <w:pStyle w:val="Gridtext"/>
              <w:jc w:val="center"/>
              <w:rPr>
                <w:color w:val="000000"/>
              </w:rPr>
            </w:pPr>
            <w:r>
              <w:rPr>
                <w:color w:val="000000"/>
              </w:rPr>
              <w:t>10</w:t>
            </w:r>
            <w:r w:rsidR="00FD0EC2">
              <w:rPr>
                <w:color w:val="000000"/>
              </w:rPr>
              <w:br/>
            </w:r>
            <w:r w:rsidR="00892E6D">
              <w:rPr>
                <w:color w:val="000000"/>
              </w:rPr>
              <w:br/>
            </w:r>
            <w:r w:rsidR="00FD0EC2">
              <w:rPr>
                <w:color w:val="000000"/>
              </w:rPr>
              <w:br/>
            </w:r>
          </w:p>
        </w:tc>
        <w:tc>
          <w:tcPr>
            <w:tcW w:w="1288"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Analytic</w:t>
            </w:r>
            <w:r w:rsidR="00FD0EC2">
              <w:rPr>
                <w:color w:val="000000"/>
              </w:rPr>
              <w:br/>
            </w:r>
            <w:r w:rsidR="00892E6D">
              <w:rPr>
                <w:color w:val="000000"/>
              </w:rPr>
              <w:br/>
            </w:r>
            <w:r w:rsidR="00FD0EC2">
              <w:rPr>
                <w:color w:val="000000"/>
              </w:rPr>
              <w:br/>
            </w:r>
          </w:p>
        </w:tc>
        <w:tc>
          <w:tcPr>
            <w:tcW w:w="1432"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Measurement</w:t>
            </w:r>
            <w:r w:rsidR="0060212E">
              <w:rPr>
                <w:color w:val="000000"/>
              </w:rPr>
              <w:br/>
            </w:r>
            <w:r w:rsidR="00892E6D">
              <w:rPr>
                <w:color w:val="000000"/>
              </w:rPr>
              <w:br/>
            </w:r>
            <w:r w:rsidR="0060212E">
              <w:rPr>
                <w:color w:val="000000"/>
              </w:rPr>
              <w:br/>
            </w:r>
          </w:p>
        </w:tc>
        <w:tc>
          <w:tcPr>
            <w:tcW w:w="1575"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Application</w:t>
            </w:r>
            <w:r w:rsidR="0060212E">
              <w:rPr>
                <w:color w:val="000000"/>
              </w:rPr>
              <w:br/>
            </w:r>
            <w:r w:rsidR="00892E6D">
              <w:rPr>
                <w:color w:val="000000"/>
              </w:rPr>
              <w:br/>
            </w:r>
            <w:r w:rsidR="0060212E">
              <w:rPr>
                <w:color w:val="000000"/>
              </w:rPr>
              <w:br/>
            </w:r>
          </w:p>
        </w:tc>
      </w:tr>
      <w:tr w:rsidR="00111D94" w:rsidRPr="000B4B45" w:rsidTr="00892E6D">
        <w:trPr>
          <w:trHeight w:val="300"/>
        </w:trPr>
        <w:tc>
          <w:tcPr>
            <w:tcW w:w="825" w:type="dxa"/>
            <w:shd w:val="clear" w:color="auto" w:fill="auto"/>
            <w:noWrap/>
            <w:tcMar>
              <w:top w:w="10" w:type="dxa"/>
              <w:left w:w="10" w:type="dxa"/>
              <w:bottom w:w="0" w:type="dxa"/>
              <w:right w:w="10" w:type="dxa"/>
            </w:tcMar>
            <w:vAlign w:val="bottom"/>
            <w:hideMark/>
          </w:tcPr>
          <w:p w:rsidR="00111D94" w:rsidRPr="000B4B45" w:rsidRDefault="00E4588E" w:rsidP="009F5941">
            <w:pPr>
              <w:pStyle w:val="Gridtext"/>
            </w:pPr>
            <w:r>
              <w:t>C1-2</w:t>
            </w:r>
            <w:r w:rsidR="00FD0EC2">
              <w:br/>
            </w:r>
            <w:r w:rsidR="00FD0EC2">
              <w:br/>
            </w:r>
            <w:r w:rsidR="00FD0EC2">
              <w:br/>
            </w:r>
          </w:p>
        </w:tc>
        <w:tc>
          <w:tcPr>
            <w:tcW w:w="2146" w:type="dxa"/>
            <w:shd w:val="clear" w:color="auto" w:fill="auto"/>
            <w:tcMar>
              <w:top w:w="10" w:type="dxa"/>
              <w:left w:w="10" w:type="dxa"/>
              <w:bottom w:w="0" w:type="dxa"/>
              <w:right w:w="10" w:type="dxa"/>
            </w:tcMar>
            <w:vAlign w:val="bottom"/>
            <w:hideMark/>
          </w:tcPr>
          <w:p w:rsidR="00111D94" w:rsidRDefault="00E4588E" w:rsidP="00B91A3B">
            <w:pPr>
              <w:pStyle w:val="Gridtext"/>
              <w:rPr>
                <w:color w:val="000000"/>
              </w:rPr>
            </w:pPr>
            <w:r>
              <w:rPr>
                <w:color w:val="000000"/>
              </w:rPr>
              <w:t>Standard Setting</w:t>
            </w:r>
            <w:r w:rsidR="00FD0EC2">
              <w:rPr>
                <w:color w:val="000000"/>
              </w:rPr>
              <w:br/>
            </w:r>
            <w:r w:rsidR="00FD0EC2">
              <w:rPr>
                <w:color w:val="000000"/>
              </w:rPr>
              <w:br/>
            </w:r>
            <w:r w:rsidR="00FD0EC2">
              <w:rPr>
                <w:color w:val="000000"/>
              </w:rPr>
              <w:br/>
            </w:r>
          </w:p>
        </w:tc>
        <w:tc>
          <w:tcPr>
            <w:tcW w:w="2862" w:type="dxa"/>
            <w:shd w:val="clear" w:color="auto" w:fill="auto"/>
            <w:tcMar>
              <w:top w:w="10" w:type="dxa"/>
              <w:left w:w="10" w:type="dxa"/>
              <w:bottom w:w="0" w:type="dxa"/>
              <w:right w:w="10" w:type="dxa"/>
            </w:tcMar>
            <w:vAlign w:val="bottom"/>
            <w:hideMark/>
          </w:tcPr>
          <w:p w:rsidR="00111D94" w:rsidRDefault="00004942" w:rsidP="00111D94">
            <w:pPr>
              <w:pStyle w:val="Gridtext"/>
              <w:rPr>
                <w:color w:val="000000"/>
              </w:rPr>
            </w:pPr>
            <w:r>
              <w:rPr>
                <w:color w:val="000000"/>
              </w:rPr>
              <w:t>Describe why there is political action and social involvement in the standard</w:t>
            </w:r>
            <w:r w:rsidR="007945B5">
              <w:rPr>
                <w:color w:val="000000"/>
              </w:rPr>
              <w:t>-</w:t>
            </w:r>
            <w:r>
              <w:rPr>
                <w:color w:val="000000"/>
              </w:rPr>
              <w:t xml:space="preserve"> setting process</w:t>
            </w:r>
          </w:p>
        </w:tc>
        <w:tc>
          <w:tcPr>
            <w:tcW w:w="288" w:type="dxa"/>
            <w:shd w:val="clear" w:color="auto" w:fill="auto"/>
            <w:tcMar>
              <w:top w:w="10" w:type="dxa"/>
              <w:left w:w="10" w:type="dxa"/>
              <w:bottom w:w="0" w:type="dxa"/>
              <w:right w:w="10" w:type="dxa"/>
            </w:tcMar>
            <w:vAlign w:val="bottom"/>
            <w:hideMark/>
          </w:tcPr>
          <w:p w:rsidR="00111D94" w:rsidRDefault="00004942" w:rsidP="008D0BB2">
            <w:pPr>
              <w:pStyle w:val="Gridtext"/>
              <w:jc w:val="center"/>
              <w:rPr>
                <w:color w:val="000000"/>
              </w:rPr>
            </w:pPr>
            <w:r>
              <w:rPr>
                <w:color w:val="000000"/>
              </w:rPr>
              <w:t>3</w:t>
            </w:r>
            <w:r w:rsidR="00FD0EC2">
              <w:rPr>
                <w:color w:val="000000"/>
              </w:rPr>
              <w:br/>
            </w:r>
            <w:r w:rsidR="00FD0EC2">
              <w:rPr>
                <w:color w:val="000000"/>
              </w:rPr>
              <w:br/>
            </w:r>
            <w:r w:rsidR="00FD0EC2">
              <w:rPr>
                <w:color w:val="000000"/>
              </w:rPr>
              <w:br/>
            </w:r>
          </w:p>
        </w:tc>
        <w:tc>
          <w:tcPr>
            <w:tcW w:w="717" w:type="dxa"/>
            <w:shd w:val="clear" w:color="auto" w:fill="auto"/>
            <w:noWrap/>
            <w:tcMar>
              <w:top w:w="10" w:type="dxa"/>
              <w:left w:w="10" w:type="dxa"/>
              <w:bottom w:w="0" w:type="dxa"/>
              <w:right w:w="10" w:type="dxa"/>
            </w:tcMar>
            <w:vAlign w:val="bottom"/>
            <w:hideMark/>
          </w:tcPr>
          <w:p w:rsidR="00111D94" w:rsidRPr="000B4B45" w:rsidRDefault="00004942" w:rsidP="00B91A3B">
            <w:pPr>
              <w:pStyle w:val="Gridtext"/>
            </w:pPr>
            <w:r>
              <w:rPr>
                <w:color w:val="000000"/>
              </w:rPr>
              <w:t>CMA</w:t>
            </w:r>
            <w:r w:rsidR="00FD0EC2">
              <w:rPr>
                <w:color w:val="000000"/>
              </w:rPr>
              <w:br/>
            </w:r>
            <w:r w:rsidR="00FD0EC2">
              <w:rPr>
                <w:color w:val="000000"/>
              </w:rPr>
              <w:br/>
            </w:r>
            <w:r w:rsidR="00FD0EC2">
              <w:rPr>
                <w:color w:val="000000"/>
              </w:rPr>
              <w:br/>
            </w:r>
          </w:p>
        </w:tc>
        <w:tc>
          <w:tcPr>
            <w:tcW w:w="1252"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Easy</w:t>
            </w:r>
            <w:r w:rsidR="00FD0EC2">
              <w:rPr>
                <w:color w:val="000000"/>
              </w:rPr>
              <w:br/>
            </w:r>
            <w:r w:rsidR="00FD0EC2">
              <w:rPr>
                <w:color w:val="000000"/>
              </w:rPr>
              <w:br/>
            </w:r>
            <w:r w:rsidR="00FD0EC2">
              <w:rPr>
                <w:color w:val="000000"/>
              </w:rPr>
              <w:br/>
            </w:r>
          </w:p>
        </w:tc>
        <w:tc>
          <w:tcPr>
            <w:tcW w:w="431" w:type="dxa"/>
            <w:shd w:val="clear" w:color="auto" w:fill="auto"/>
            <w:noWrap/>
            <w:tcMar>
              <w:top w:w="10" w:type="dxa"/>
              <w:left w:w="10" w:type="dxa"/>
              <w:bottom w:w="0" w:type="dxa"/>
              <w:right w:w="10" w:type="dxa"/>
            </w:tcMar>
            <w:vAlign w:val="bottom"/>
            <w:hideMark/>
          </w:tcPr>
          <w:p w:rsidR="00111D94" w:rsidRDefault="00004942" w:rsidP="008D0BB2">
            <w:pPr>
              <w:pStyle w:val="Gridtext"/>
              <w:jc w:val="center"/>
              <w:rPr>
                <w:color w:val="000000"/>
              </w:rPr>
            </w:pPr>
            <w:r>
              <w:rPr>
                <w:color w:val="000000"/>
              </w:rPr>
              <w:t>10</w:t>
            </w:r>
            <w:r w:rsidR="00FD0EC2">
              <w:rPr>
                <w:color w:val="000000"/>
              </w:rPr>
              <w:br/>
            </w:r>
            <w:r w:rsidR="00FD0EC2">
              <w:rPr>
                <w:color w:val="000000"/>
              </w:rPr>
              <w:br/>
            </w:r>
            <w:r w:rsidR="00FD0EC2">
              <w:rPr>
                <w:color w:val="000000"/>
              </w:rPr>
              <w:br/>
            </w:r>
          </w:p>
        </w:tc>
        <w:tc>
          <w:tcPr>
            <w:tcW w:w="1288"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Analytic</w:t>
            </w:r>
            <w:r w:rsidR="00FD0EC2">
              <w:rPr>
                <w:color w:val="000000"/>
              </w:rPr>
              <w:br/>
            </w:r>
            <w:r w:rsidR="00FD0EC2">
              <w:rPr>
                <w:color w:val="000000"/>
              </w:rPr>
              <w:br/>
            </w:r>
            <w:r w:rsidR="00FD0EC2">
              <w:rPr>
                <w:color w:val="000000"/>
              </w:rPr>
              <w:br/>
            </w:r>
          </w:p>
        </w:tc>
        <w:tc>
          <w:tcPr>
            <w:tcW w:w="1432"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Measurement</w:t>
            </w:r>
            <w:r w:rsidR="0060212E">
              <w:rPr>
                <w:color w:val="000000"/>
              </w:rPr>
              <w:br/>
            </w:r>
            <w:r w:rsidR="0060212E">
              <w:rPr>
                <w:color w:val="000000"/>
              </w:rPr>
              <w:br/>
            </w:r>
            <w:r w:rsidR="0060212E">
              <w:rPr>
                <w:color w:val="000000"/>
              </w:rPr>
              <w:br/>
            </w:r>
          </w:p>
        </w:tc>
        <w:tc>
          <w:tcPr>
            <w:tcW w:w="1575"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Application</w:t>
            </w:r>
            <w:r w:rsidR="0060212E">
              <w:rPr>
                <w:color w:val="000000"/>
              </w:rPr>
              <w:br/>
            </w:r>
            <w:r w:rsidR="0060212E">
              <w:rPr>
                <w:color w:val="000000"/>
              </w:rPr>
              <w:br/>
            </w:r>
            <w:r w:rsidR="0060212E">
              <w:rPr>
                <w:color w:val="000000"/>
              </w:rPr>
              <w:br/>
            </w:r>
          </w:p>
        </w:tc>
      </w:tr>
      <w:tr w:rsidR="00111D94" w:rsidRPr="000B4B45" w:rsidTr="00892E6D">
        <w:trPr>
          <w:trHeight w:val="300"/>
        </w:trPr>
        <w:tc>
          <w:tcPr>
            <w:tcW w:w="825" w:type="dxa"/>
            <w:shd w:val="clear" w:color="auto" w:fill="auto"/>
            <w:noWrap/>
            <w:tcMar>
              <w:top w:w="10" w:type="dxa"/>
              <w:left w:w="10" w:type="dxa"/>
              <w:bottom w:w="0" w:type="dxa"/>
              <w:right w:w="10" w:type="dxa"/>
            </w:tcMar>
            <w:vAlign w:val="bottom"/>
            <w:hideMark/>
          </w:tcPr>
          <w:p w:rsidR="00111D94" w:rsidRPr="000B4B45" w:rsidRDefault="00E4588E" w:rsidP="009F5941">
            <w:pPr>
              <w:pStyle w:val="Gridtext"/>
            </w:pPr>
            <w:r>
              <w:t>C1-3</w:t>
            </w:r>
            <w:r w:rsidR="00FD0EC2">
              <w:br/>
            </w:r>
            <w:r w:rsidR="00FD0EC2">
              <w:br/>
            </w:r>
          </w:p>
        </w:tc>
        <w:tc>
          <w:tcPr>
            <w:tcW w:w="2146" w:type="dxa"/>
            <w:shd w:val="clear" w:color="auto" w:fill="auto"/>
            <w:tcMar>
              <w:top w:w="10" w:type="dxa"/>
              <w:left w:w="10" w:type="dxa"/>
              <w:bottom w:w="0" w:type="dxa"/>
              <w:right w:w="10" w:type="dxa"/>
            </w:tcMar>
            <w:vAlign w:val="bottom"/>
            <w:hideMark/>
          </w:tcPr>
          <w:p w:rsidR="00111D94" w:rsidRDefault="00E4588E" w:rsidP="00B91A3B">
            <w:pPr>
              <w:pStyle w:val="Gridtext"/>
              <w:rPr>
                <w:color w:val="000000"/>
              </w:rPr>
            </w:pPr>
            <w:r>
              <w:rPr>
                <w:color w:val="000000"/>
              </w:rPr>
              <w:t>Organization of the FASB</w:t>
            </w:r>
            <w:r w:rsidR="00FD0EC2">
              <w:rPr>
                <w:color w:val="000000"/>
              </w:rPr>
              <w:br/>
            </w:r>
          </w:p>
        </w:tc>
        <w:tc>
          <w:tcPr>
            <w:tcW w:w="2862" w:type="dxa"/>
            <w:shd w:val="clear" w:color="auto" w:fill="auto"/>
            <w:tcMar>
              <w:top w:w="10" w:type="dxa"/>
              <w:left w:w="10" w:type="dxa"/>
              <w:bottom w:w="0" w:type="dxa"/>
              <w:right w:w="10" w:type="dxa"/>
            </w:tcMar>
            <w:vAlign w:val="bottom"/>
            <w:hideMark/>
          </w:tcPr>
          <w:p w:rsidR="00111D94" w:rsidRDefault="00004942" w:rsidP="00111D94">
            <w:pPr>
              <w:pStyle w:val="Gridtext"/>
              <w:rPr>
                <w:color w:val="000000"/>
              </w:rPr>
            </w:pPr>
            <w:r>
              <w:rPr>
                <w:color w:val="000000"/>
              </w:rPr>
              <w:t>Summarize the structure of the FASB and its operating procedures</w:t>
            </w:r>
          </w:p>
        </w:tc>
        <w:tc>
          <w:tcPr>
            <w:tcW w:w="288" w:type="dxa"/>
            <w:shd w:val="clear" w:color="auto" w:fill="auto"/>
            <w:tcMar>
              <w:top w:w="10" w:type="dxa"/>
              <w:left w:w="10" w:type="dxa"/>
              <w:bottom w:w="0" w:type="dxa"/>
              <w:right w:w="10" w:type="dxa"/>
            </w:tcMar>
            <w:vAlign w:val="bottom"/>
            <w:hideMark/>
          </w:tcPr>
          <w:p w:rsidR="00111D94" w:rsidRDefault="00430361" w:rsidP="008D0BB2">
            <w:pPr>
              <w:pStyle w:val="Gridtext"/>
              <w:jc w:val="center"/>
              <w:rPr>
                <w:color w:val="000000"/>
              </w:rPr>
            </w:pPr>
            <w:r>
              <w:rPr>
                <w:color w:val="000000"/>
              </w:rPr>
              <w:t>3</w:t>
            </w:r>
            <w:r w:rsidR="00FD0EC2">
              <w:rPr>
                <w:color w:val="000000"/>
              </w:rPr>
              <w:br/>
            </w:r>
            <w:r w:rsidR="00FD0EC2">
              <w:rPr>
                <w:color w:val="000000"/>
              </w:rPr>
              <w:br/>
            </w:r>
          </w:p>
        </w:tc>
        <w:tc>
          <w:tcPr>
            <w:tcW w:w="717" w:type="dxa"/>
            <w:shd w:val="clear" w:color="auto" w:fill="auto"/>
            <w:noWrap/>
            <w:tcMar>
              <w:top w:w="10" w:type="dxa"/>
              <w:left w:w="10" w:type="dxa"/>
              <w:bottom w:w="0" w:type="dxa"/>
              <w:right w:w="10" w:type="dxa"/>
            </w:tcMar>
            <w:vAlign w:val="bottom"/>
            <w:hideMark/>
          </w:tcPr>
          <w:p w:rsidR="00111D94" w:rsidRPr="000B4B45" w:rsidRDefault="00111D94" w:rsidP="00B91A3B">
            <w:pPr>
              <w:pStyle w:val="Gridtext"/>
            </w:pPr>
          </w:p>
        </w:tc>
        <w:tc>
          <w:tcPr>
            <w:tcW w:w="1252"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Easy</w:t>
            </w:r>
            <w:r w:rsidR="00FD0EC2">
              <w:rPr>
                <w:color w:val="000000"/>
              </w:rPr>
              <w:br/>
            </w:r>
            <w:r w:rsidR="00FD0EC2">
              <w:rPr>
                <w:color w:val="000000"/>
              </w:rPr>
              <w:br/>
            </w:r>
          </w:p>
        </w:tc>
        <w:tc>
          <w:tcPr>
            <w:tcW w:w="431" w:type="dxa"/>
            <w:shd w:val="clear" w:color="auto" w:fill="auto"/>
            <w:noWrap/>
            <w:tcMar>
              <w:top w:w="10" w:type="dxa"/>
              <w:left w:w="10" w:type="dxa"/>
              <w:bottom w:w="0" w:type="dxa"/>
              <w:right w:w="10" w:type="dxa"/>
            </w:tcMar>
            <w:vAlign w:val="bottom"/>
            <w:hideMark/>
          </w:tcPr>
          <w:p w:rsidR="00111D94" w:rsidRDefault="00004942" w:rsidP="008D0BB2">
            <w:pPr>
              <w:pStyle w:val="Gridtext"/>
              <w:jc w:val="center"/>
              <w:rPr>
                <w:color w:val="000000"/>
              </w:rPr>
            </w:pPr>
            <w:r>
              <w:rPr>
                <w:color w:val="000000"/>
              </w:rPr>
              <w:t>15</w:t>
            </w:r>
            <w:r w:rsidR="00FD0EC2">
              <w:rPr>
                <w:color w:val="000000"/>
              </w:rPr>
              <w:br/>
            </w:r>
            <w:r w:rsidR="00FD0EC2">
              <w:rPr>
                <w:color w:val="000000"/>
              </w:rPr>
              <w:br/>
            </w:r>
          </w:p>
        </w:tc>
        <w:tc>
          <w:tcPr>
            <w:tcW w:w="1288"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Analytic</w:t>
            </w:r>
            <w:r w:rsidR="00FD0EC2">
              <w:rPr>
                <w:color w:val="000000"/>
              </w:rPr>
              <w:br/>
            </w:r>
            <w:r w:rsidR="00FD0EC2">
              <w:rPr>
                <w:color w:val="000000"/>
              </w:rPr>
              <w:br/>
            </w:r>
          </w:p>
        </w:tc>
        <w:tc>
          <w:tcPr>
            <w:tcW w:w="1432"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Measurement</w:t>
            </w:r>
            <w:r w:rsidR="0060212E">
              <w:rPr>
                <w:color w:val="000000"/>
              </w:rPr>
              <w:br/>
            </w:r>
            <w:r w:rsidR="0060212E">
              <w:rPr>
                <w:color w:val="000000"/>
              </w:rPr>
              <w:br/>
            </w:r>
          </w:p>
        </w:tc>
        <w:tc>
          <w:tcPr>
            <w:tcW w:w="1575"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Application</w:t>
            </w:r>
            <w:r w:rsidR="0060212E">
              <w:rPr>
                <w:color w:val="000000"/>
              </w:rPr>
              <w:br/>
            </w:r>
            <w:r w:rsidR="0060212E">
              <w:rPr>
                <w:color w:val="000000"/>
              </w:rPr>
              <w:br/>
            </w:r>
          </w:p>
        </w:tc>
      </w:tr>
      <w:tr w:rsidR="00111D94" w:rsidRPr="000B4B45" w:rsidTr="00892E6D">
        <w:trPr>
          <w:trHeight w:val="300"/>
        </w:trPr>
        <w:tc>
          <w:tcPr>
            <w:tcW w:w="825" w:type="dxa"/>
            <w:shd w:val="clear" w:color="auto" w:fill="auto"/>
            <w:noWrap/>
            <w:tcMar>
              <w:top w:w="10" w:type="dxa"/>
              <w:left w:w="10" w:type="dxa"/>
              <w:bottom w:w="0" w:type="dxa"/>
              <w:right w:w="10" w:type="dxa"/>
            </w:tcMar>
            <w:vAlign w:val="bottom"/>
            <w:hideMark/>
          </w:tcPr>
          <w:p w:rsidR="00111D94" w:rsidRPr="000B4B45" w:rsidRDefault="00E4588E" w:rsidP="009F5941">
            <w:pPr>
              <w:pStyle w:val="Gridtext"/>
            </w:pPr>
            <w:r>
              <w:t>C1-4</w:t>
            </w:r>
            <w:r w:rsidR="00FD0EC2">
              <w:br/>
            </w:r>
            <w:r w:rsidR="00FD0EC2">
              <w:br/>
            </w:r>
          </w:p>
        </w:tc>
        <w:tc>
          <w:tcPr>
            <w:tcW w:w="2146" w:type="dxa"/>
            <w:shd w:val="clear" w:color="auto" w:fill="auto"/>
            <w:tcMar>
              <w:top w:w="10" w:type="dxa"/>
              <w:left w:w="10" w:type="dxa"/>
              <w:bottom w:w="0" w:type="dxa"/>
              <w:right w:w="10" w:type="dxa"/>
            </w:tcMar>
            <w:vAlign w:val="bottom"/>
            <w:hideMark/>
          </w:tcPr>
          <w:p w:rsidR="00111D94" w:rsidRDefault="00004942" w:rsidP="00B91A3B">
            <w:pPr>
              <w:pStyle w:val="Gridtext"/>
              <w:rPr>
                <w:color w:val="000000"/>
              </w:rPr>
            </w:pPr>
            <w:r>
              <w:rPr>
                <w:color w:val="000000"/>
              </w:rPr>
              <w:t>Code of Professional Conduct</w:t>
            </w:r>
            <w:r w:rsidR="00FD0EC2">
              <w:rPr>
                <w:color w:val="000000"/>
              </w:rPr>
              <w:br/>
            </w:r>
          </w:p>
        </w:tc>
        <w:tc>
          <w:tcPr>
            <w:tcW w:w="2862" w:type="dxa"/>
            <w:shd w:val="clear" w:color="auto" w:fill="auto"/>
            <w:tcMar>
              <w:top w:w="10" w:type="dxa"/>
              <w:left w:w="10" w:type="dxa"/>
              <w:bottom w:w="0" w:type="dxa"/>
              <w:right w:w="10" w:type="dxa"/>
            </w:tcMar>
            <w:vAlign w:val="bottom"/>
            <w:hideMark/>
          </w:tcPr>
          <w:p w:rsidR="00111D94" w:rsidRDefault="00004942" w:rsidP="00111D94">
            <w:pPr>
              <w:pStyle w:val="Gridtext"/>
              <w:rPr>
                <w:color w:val="000000"/>
              </w:rPr>
            </w:pPr>
            <w:r>
              <w:rPr>
                <w:color w:val="000000"/>
              </w:rPr>
              <w:t>Identify, briefly discuss, and provide examples to illustrate the first five principles of CPC</w:t>
            </w:r>
          </w:p>
        </w:tc>
        <w:tc>
          <w:tcPr>
            <w:tcW w:w="288" w:type="dxa"/>
            <w:shd w:val="clear" w:color="auto" w:fill="auto"/>
            <w:tcMar>
              <w:top w:w="10" w:type="dxa"/>
              <w:left w:w="10" w:type="dxa"/>
              <w:bottom w:w="0" w:type="dxa"/>
              <w:right w:w="10" w:type="dxa"/>
            </w:tcMar>
            <w:vAlign w:val="bottom"/>
            <w:hideMark/>
          </w:tcPr>
          <w:p w:rsidR="00111D94" w:rsidRDefault="005614E4" w:rsidP="008D0BB2">
            <w:pPr>
              <w:pStyle w:val="Gridtext"/>
              <w:jc w:val="center"/>
              <w:rPr>
                <w:color w:val="000000"/>
              </w:rPr>
            </w:pPr>
            <w:r>
              <w:rPr>
                <w:color w:val="000000"/>
              </w:rPr>
              <w:t>7</w:t>
            </w:r>
            <w:r w:rsidR="00FD0EC2">
              <w:rPr>
                <w:color w:val="000000"/>
              </w:rPr>
              <w:br/>
            </w:r>
            <w:r w:rsidR="00FD0EC2">
              <w:rPr>
                <w:color w:val="000000"/>
              </w:rPr>
              <w:br/>
            </w:r>
          </w:p>
        </w:tc>
        <w:tc>
          <w:tcPr>
            <w:tcW w:w="717" w:type="dxa"/>
            <w:shd w:val="clear" w:color="auto" w:fill="auto"/>
            <w:noWrap/>
            <w:tcMar>
              <w:top w:w="10" w:type="dxa"/>
              <w:left w:w="10" w:type="dxa"/>
              <w:bottom w:w="0" w:type="dxa"/>
              <w:right w:w="10" w:type="dxa"/>
            </w:tcMar>
            <w:vAlign w:val="bottom"/>
            <w:hideMark/>
          </w:tcPr>
          <w:p w:rsidR="00111D94" w:rsidRPr="000B4B45" w:rsidRDefault="00111D94" w:rsidP="00B91A3B">
            <w:pPr>
              <w:pStyle w:val="Gridtext"/>
            </w:pPr>
          </w:p>
        </w:tc>
        <w:tc>
          <w:tcPr>
            <w:tcW w:w="1252"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Easy</w:t>
            </w:r>
            <w:r w:rsidR="00FD0EC2">
              <w:rPr>
                <w:color w:val="000000"/>
              </w:rPr>
              <w:br/>
            </w:r>
            <w:r w:rsidR="00FD0EC2">
              <w:rPr>
                <w:color w:val="000000"/>
              </w:rPr>
              <w:br/>
            </w:r>
          </w:p>
        </w:tc>
        <w:tc>
          <w:tcPr>
            <w:tcW w:w="431" w:type="dxa"/>
            <w:shd w:val="clear" w:color="auto" w:fill="auto"/>
            <w:noWrap/>
            <w:tcMar>
              <w:top w:w="10" w:type="dxa"/>
              <w:left w:w="10" w:type="dxa"/>
              <w:bottom w:w="0" w:type="dxa"/>
              <w:right w:w="10" w:type="dxa"/>
            </w:tcMar>
            <w:vAlign w:val="bottom"/>
            <w:hideMark/>
          </w:tcPr>
          <w:p w:rsidR="00111D94" w:rsidRDefault="00004942" w:rsidP="008D0BB2">
            <w:pPr>
              <w:pStyle w:val="Gridtext"/>
              <w:jc w:val="center"/>
              <w:rPr>
                <w:color w:val="000000"/>
              </w:rPr>
            </w:pPr>
            <w:r>
              <w:rPr>
                <w:color w:val="000000"/>
              </w:rPr>
              <w:t>10</w:t>
            </w:r>
            <w:r w:rsidR="00FD0EC2">
              <w:rPr>
                <w:color w:val="000000"/>
              </w:rPr>
              <w:br/>
            </w:r>
            <w:r w:rsidR="00FD0EC2">
              <w:rPr>
                <w:color w:val="000000"/>
              </w:rPr>
              <w:br/>
            </w:r>
          </w:p>
        </w:tc>
        <w:tc>
          <w:tcPr>
            <w:tcW w:w="1288"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Analytic</w:t>
            </w:r>
            <w:r w:rsidR="00FD0EC2">
              <w:rPr>
                <w:color w:val="000000"/>
              </w:rPr>
              <w:br/>
            </w:r>
            <w:r w:rsidR="00FD0EC2">
              <w:rPr>
                <w:color w:val="000000"/>
              </w:rPr>
              <w:br/>
            </w:r>
          </w:p>
        </w:tc>
        <w:tc>
          <w:tcPr>
            <w:tcW w:w="1432"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Measurement</w:t>
            </w:r>
            <w:r w:rsidR="0060212E">
              <w:rPr>
                <w:color w:val="000000"/>
              </w:rPr>
              <w:br/>
            </w:r>
            <w:r w:rsidR="0060212E">
              <w:rPr>
                <w:color w:val="000000"/>
              </w:rPr>
              <w:br/>
            </w:r>
          </w:p>
        </w:tc>
        <w:tc>
          <w:tcPr>
            <w:tcW w:w="1575" w:type="dxa"/>
            <w:shd w:val="clear" w:color="auto" w:fill="auto"/>
            <w:noWrap/>
            <w:tcMar>
              <w:top w:w="10" w:type="dxa"/>
              <w:left w:w="10" w:type="dxa"/>
              <w:bottom w:w="0" w:type="dxa"/>
              <w:right w:w="10" w:type="dxa"/>
            </w:tcMar>
            <w:vAlign w:val="bottom"/>
            <w:hideMark/>
          </w:tcPr>
          <w:p w:rsidR="00111D94" w:rsidRDefault="00004942" w:rsidP="00B91A3B">
            <w:pPr>
              <w:pStyle w:val="Gridtext"/>
              <w:rPr>
                <w:color w:val="000000"/>
              </w:rPr>
            </w:pPr>
            <w:r>
              <w:rPr>
                <w:color w:val="000000"/>
              </w:rPr>
              <w:t>Application</w:t>
            </w:r>
            <w:r w:rsidR="0060212E">
              <w:rPr>
                <w:color w:val="000000"/>
              </w:rPr>
              <w:br/>
            </w:r>
            <w:r w:rsidR="0060212E">
              <w:rPr>
                <w:color w:val="000000"/>
              </w:rPr>
              <w:br/>
            </w:r>
          </w:p>
        </w:tc>
      </w:tr>
      <w:tr w:rsidR="00004942" w:rsidRPr="000B4B45" w:rsidTr="00892E6D">
        <w:trPr>
          <w:trHeight w:val="300"/>
        </w:trPr>
        <w:tc>
          <w:tcPr>
            <w:tcW w:w="825" w:type="dxa"/>
            <w:shd w:val="clear" w:color="auto" w:fill="auto"/>
            <w:noWrap/>
            <w:tcMar>
              <w:top w:w="10" w:type="dxa"/>
              <w:left w:w="10" w:type="dxa"/>
              <w:bottom w:w="0" w:type="dxa"/>
              <w:right w:w="10" w:type="dxa"/>
            </w:tcMar>
            <w:vAlign w:val="bottom"/>
            <w:hideMark/>
          </w:tcPr>
          <w:p w:rsidR="00004942" w:rsidRDefault="00004942" w:rsidP="00004942">
            <w:pPr>
              <w:pStyle w:val="Gridtext"/>
            </w:pPr>
            <w:r>
              <w:t>C1-5</w:t>
            </w:r>
            <w:r w:rsidR="00FD0EC2">
              <w:br/>
            </w:r>
            <w:r w:rsidR="00FD0EC2">
              <w:br/>
            </w:r>
          </w:p>
        </w:tc>
        <w:tc>
          <w:tcPr>
            <w:tcW w:w="2146" w:type="dxa"/>
            <w:shd w:val="clear" w:color="auto" w:fill="auto"/>
            <w:tcMar>
              <w:top w:w="10" w:type="dxa"/>
              <w:left w:w="10" w:type="dxa"/>
              <w:bottom w:w="0" w:type="dxa"/>
              <w:right w:w="10" w:type="dxa"/>
            </w:tcMar>
            <w:vAlign w:val="bottom"/>
            <w:hideMark/>
          </w:tcPr>
          <w:p w:rsidR="00004942" w:rsidRDefault="00004942" w:rsidP="00B91A3B">
            <w:pPr>
              <w:pStyle w:val="Gridtext"/>
              <w:rPr>
                <w:color w:val="000000"/>
              </w:rPr>
            </w:pPr>
            <w:r>
              <w:rPr>
                <w:color w:val="000000"/>
              </w:rPr>
              <w:t>Lobbying the FASB</w:t>
            </w:r>
            <w:r w:rsidR="00FD0EC2">
              <w:rPr>
                <w:color w:val="000000"/>
              </w:rPr>
              <w:br/>
            </w:r>
            <w:r w:rsidR="00FD0EC2">
              <w:rPr>
                <w:color w:val="000000"/>
              </w:rPr>
              <w:br/>
            </w:r>
          </w:p>
        </w:tc>
        <w:tc>
          <w:tcPr>
            <w:tcW w:w="2862" w:type="dxa"/>
            <w:shd w:val="clear" w:color="auto" w:fill="auto"/>
            <w:tcMar>
              <w:top w:w="10" w:type="dxa"/>
              <w:left w:w="10" w:type="dxa"/>
              <w:bottom w:w="0" w:type="dxa"/>
              <w:right w:w="10" w:type="dxa"/>
            </w:tcMar>
            <w:vAlign w:val="bottom"/>
            <w:hideMark/>
          </w:tcPr>
          <w:p w:rsidR="00004942" w:rsidRDefault="00004942" w:rsidP="00111D94">
            <w:pPr>
              <w:pStyle w:val="Gridtext"/>
              <w:rPr>
                <w:color w:val="000000"/>
              </w:rPr>
            </w:pPr>
            <w:r>
              <w:rPr>
                <w:color w:val="000000"/>
              </w:rPr>
              <w:t>Discuss pros and cons of lobbying</w:t>
            </w:r>
            <w:r w:rsidR="007945B5">
              <w:rPr>
                <w:color w:val="000000"/>
              </w:rPr>
              <w:t xml:space="preserve"> the</w:t>
            </w:r>
            <w:r>
              <w:rPr>
                <w:color w:val="000000"/>
              </w:rPr>
              <w:t xml:space="preserve"> FASB by interested parties</w:t>
            </w:r>
          </w:p>
        </w:tc>
        <w:tc>
          <w:tcPr>
            <w:tcW w:w="288" w:type="dxa"/>
            <w:shd w:val="clear" w:color="auto" w:fill="auto"/>
            <w:tcMar>
              <w:top w:w="10" w:type="dxa"/>
              <w:left w:w="10" w:type="dxa"/>
              <w:bottom w:w="0" w:type="dxa"/>
              <w:right w:w="10" w:type="dxa"/>
            </w:tcMar>
            <w:vAlign w:val="bottom"/>
            <w:hideMark/>
          </w:tcPr>
          <w:p w:rsidR="00004942" w:rsidRDefault="00430361" w:rsidP="008D0BB2">
            <w:pPr>
              <w:pStyle w:val="Gridtext"/>
              <w:jc w:val="center"/>
              <w:rPr>
                <w:color w:val="000000"/>
              </w:rPr>
            </w:pPr>
            <w:r>
              <w:rPr>
                <w:color w:val="000000"/>
              </w:rPr>
              <w:t>3</w:t>
            </w:r>
            <w:r w:rsidR="00FD0EC2">
              <w:rPr>
                <w:color w:val="000000"/>
              </w:rPr>
              <w:br/>
            </w:r>
            <w:r w:rsidR="00FD0EC2">
              <w:rPr>
                <w:color w:val="000000"/>
              </w:rPr>
              <w:br/>
            </w:r>
          </w:p>
        </w:tc>
        <w:tc>
          <w:tcPr>
            <w:tcW w:w="717" w:type="dxa"/>
            <w:shd w:val="clear" w:color="auto" w:fill="auto"/>
            <w:noWrap/>
            <w:tcMar>
              <w:top w:w="10" w:type="dxa"/>
              <w:left w:w="10" w:type="dxa"/>
              <w:bottom w:w="0" w:type="dxa"/>
              <w:right w:w="10" w:type="dxa"/>
            </w:tcMar>
            <w:vAlign w:val="bottom"/>
            <w:hideMark/>
          </w:tcPr>
          <w:p w:rsidR="00004942" w:rsidRPr="000B4B45" w:rsidRDefault="00004942" w:rsidP="00B91A3B">
            <w:pPr>
              <w:pStyle w:val="Gridtext"/>
            </w:pPr>
          </w:p>
        </w:tc>
        <w:tc>
          <w:tcPr>
            <w:tcW w:w="1252" w:type="dxa"/>
            <w:shd w:val="clear" w:color="auto" w:fill="auto"/>
            <w:noWrap/>
            <w:tcMar>
              <w:top w:w="10" w:type="dxa"/>
              <w:left w:w="10" w:type="dxa"/>
              <w:bottom w:w="0" w:type="dxa"/>
              <w:right w:w="10" w:type="dxa"/>
            </w:tcMar>
            <w:vAlign w:val="bottom"/>
            <w:hideMark/>
          </w:tcPr>
          <w:p w:rsidR="00004942" w:rsidRDefault="00004942" w:rsidP="00B91A3B">
            <w:pPr>
              <w:pStyle w:val="Gridtext"/>
              <w:rPr>
                <w:color w:val="000000"/>
              </w:rPr>
            </w:pPr>
            <w:r>
              <w:rPr>
                <w:color w:val="000000"/>
              </w:rPr>
              <w:t>Easy</w:t>
            </w:r>
            <w:r w:rsidR="00FD0EC2">
              <w:rPr>
                <w:color w:val="000000"/>
              </w:rPr>
              <w:br/>
            </w:r>
            <w:r w:rsidR="00FD0EC2">
              <w:rPr>
                <w:color w:val="000000"/>
              </w:rPr>
              <w:br/>
            </w:r>
          </w:p>
        </w:tc>
        <w:tc>
          <w:tcPr>
            <w:tcW w:w="431" w:type="dxa"/>
            <w:shd w:val="clear" w:color="auto" w:fill="auto"/>
            <w:noWrap/>
            <w:tcMar>
              <w:top w:w="10" w:type="dxa"/>
              <w:left w:w="10" w:type="dxa"/>
              <w:bottom w:w="0" w:type="dxa"/>
              <w:right w:w="10" w:type="dxa"/>
            </w:tcMar>
            <w:vAlign w:val="bottom"/>
            <w:hideMark/>
          </w:tcPr>
          <w:p w:rsidR="00004942" w:rsidRDefault="00004942" w:rsidP="008D0BB2">
            <w:pPr>
              <w:pStyle w:val="Gridtext"/>
              <w:jc w:val="center"/>
              <w:rPr>
                <w:color w:val="000000"/>
              </w:rPr>
            </w:pPr>
            <w:r>
              <w:rPr>
                <w:color w:val="000000"/>
              </w:rPr>
              <w:t>5</w:t>
            </w:r>
            <w:r w:rsidR="00FD0EC2">
              <w:rPr>
                <w:color w:val="000000"/>
              </w:rPr>
              <w:br/>
            </w:r>
            <w:r w:rsidR="00FD0EC2">
              <w:rPr>
                <w:color w:val="000000"/>
              </w:rPr>
              <w:br/>
            </w:r>
          </w:p>
        </w:tc>
        <w:tc>
          <w:tcPr>
            <w:tcW w:w="1288" w:type="dxa"/>
            <w:shd w:val="clear" w:color="auto" w:fill="auto"/>
            <w:noWrap/>
            <w:tcMar>
              <w:top w:w="10" w:type="dxa"/>
              <w:left w:w="10" w:type="dxa"/>
              <w:bottom w:w="0" w:type="dxa"/>
              <w:right w:w="10" w:type="dxa"/>
            </w:tcMar>
            <w:vAlign w:val="bottom"/>
            <w:hideMark/>
          </w:tcPr>
          <w:p w:rsidR="00004942" w:rsidRDefault="00004942" w:rsidP="00B91A3B">
            <w:pPr>
              <w:pStyle w:val="Gridtext"/>
              <w:rPr>
                <w:color w:val="000000"/>
              </w:rPr>
            </w:pPr>
            <w:r>
              <w:rPr>
                <w:color w:val="000000"/>
              </w:rPr>
              <w:t>Analytic</w:t>
            </w:r>
            <w:r w:rsidR="00FD0EC2">
              <w:rPr>
                <w:color w:val="000000"/>
              </w:rPr>
              <w:br/>
            </w:r>
            <w:r w:rsidR="00FD0EC2">
              <w:rPr>
                <w:color w:val="000000"/>
              </w:rPr>
              <w:br/>
            </w:r>
          </w:p>
        </w:tc>
        <w:tc>
          <w:tcPr>
            <w:tcW w:w="1432" w:type="dxa"/>
            <w:shd w:val="clear" w:color="auto" w:fill="auto"/>
            <w:noWrap/>
            <w:tcMar>
              <w:top w:w="10" w:type="dxa"/>
              <w:left w:w="10" w:type="dxa"/>
              <w:bottom w:w="0" w:type="dxa"/>
              <w:right w:w="10" w:type="dxa"/>
            </w:tcMar>
            <w:vAlign w:val="bottom"/>
            <w:hideMark/>
          </w:tcPr>
          <w:p w:rsidR="00004942" w:rsidRDefault="00004942" w:rsidP="00B91A3B">
            <w:pPr>
              <w:pStyle w:val="Gridtext"/>
              <w:rPr>
                <w:color w:val="000000"/>
              </w:rPr>
            </w:pPr>
            <w:r>
              <w:rPr>
                <w:color w:val="000000"/>
              </w:rPr>
              <w:t>Measurement</w:t>
            </w:r>
            <w:r w:rsidR="0060212E">
              <w:rPr>
                <w:color w:val="000000"/>
              </w:rPr>
              <w:br/>
            </w:r>
            <w:r w:rsidR="0060212E">
              <w:rPr>
                <w:color w:val="000000"/>
              </w:rPr>
              <w:br/>
            </w:r>
          </w:p>
        </w:tc>
        <w:tc>
          <w:tcPr>
            <w:tcW w:w="1575" w:type="dxa"/>
            <w:shd w:val="clear" w:color="auto" w:fill="auto"/>
            <w:noWrap/>
            <w:tcMar>
              <w:top w:w="10" w:type="dxa"/>
              <w:left w:w="10" w:type="dxa"/>
              <w:bottom w:w="0" w:type="dxa"/>
              <w:right w:w="10" w:type="dxa"/>
            </w:tcMar>
            <w:vAlign w:val="bottom"/>
            <w:hideMark/>
          </w:tcPr>
          <w:p w:rsidR="00004942" w:rsidRDefault="00004942" w:rsidP="00B91A3B">
            <w:pPr>
              <w:pStyle w:val="Gridtext"/>
              <w:rPr>
                <w:color w:val="000000"/>
              </w:rPr>
            </w:pPr>
            <w:r>
              <w:rPr>
                <w:color w:val="000000"/>
              </w:rPr>
              <w:t>Application</w:t>
            </w:r>
            <w:r w:rsidR="0060212E">
              <w:rPr>
                <w:color w:val="000000"/>
              </w:rPr>
              <w:br/>
            </w:r>
            <w:r w:rsidR="0060212E">
              <w:rPr>
                <w:color w:val="000000"/>
              </w:rPr>
              <w:br/>
            </w:r>
          </w:p>
        </w:tc>
      </w:tr>
      <w:tr w:rsidR="00FD0EC2" w:rsidRPr="000B4B45" w:rsidTr="00892E6D">
        <w:trPr>
          <w:trHeight w:val="300"/>
        </w:trPr>
        <w:tc>
          <w:tcPr>
            <w:tcW w:w="825" w:type="dxa"/>
            <w:shd w:val="clear" w:color="auto" w:fill="auto"/>
            <w:noWrap/>
            <w:tcMar>
              <w:top w:w="10" w:type="dxa"/>
              <w:left w:w="10" w:type="dxa"/>
              <w:bottom w:w="0" w:type="dxa"/>
              <w:right w:w="10" w:type="dxa"/>
            </w:tcMar>
            <w:vAlign w:val="bottom"/>
            <w:hideMark/>
          </w:tcPr>
          <w:p w:rsidR="00FD0EC2" w:rsidRDefault="009A0434" w:rsidP="00004942">
            <w:pPr>
              <w:pStyle w:val="Gridtext"/>
            </w:pPr>
            <w:r>
              <w:t>C1-6</w:t>
            </w:r>
            <w:r>
              <w:br/>
            </w:r>
            <w:r>
              <w:br/>
            </w:r>
            <w:r>
              <w:br/>
            </w:r>
            <w:r>
              <w:br/>
            </w:r>
            <w:r>
              <w:br/>
            </w:r>
          </w:p>
        </w:tc>
        <w:tc>
          <w:tcPr>
            <w:tcW w:w="2146" w:type="dxa"/>
            <w:shd w:val="clear" w:color="auto" w:fill="auto"/>
            <w:tcMar>
              <w:top w:w="10" w:type="dxa"/>
              <w:left w:w="10" w:type="dxa"/>
              <w:bottom w:w="0" w:type="dxa"/>
              <w:right w:w="10" w:type="dxa"/>
            </w:tcMar>
            <w:vAlign w:val="bottom"/>
            <w:hideMark/>
          </w:tcPr>
          <w:p w:rsidR="00FD0EC2" w:rsidRDefault="009A0434" w:rsidP="00B91A3B">
            <w:pPr>
              <w:pStyle w:val="Gridtext"/>
              <w:rPr>
                <w:color w:val="000000"/>
              </w:rPr>
            </w:pPr>
            <w:r>
              <w:rPr>
                <w:color w:val="000000"/>
              </w:rPr>
              <w:t>International Convergence</w:t>
            </w:r>
            <w:r>
              <w:rPr>
                <w:color w:val="000000"/>
              </w:rPr>
              <w:br/>
            </w:r>
            <w:r>
              <w:rPr>
                <w:color w:val="000000"/>
              </w:rPr>
              <w:br/>
            </w:r>
            <w:r>
              <w:rPr>
                <w:color w:val="000000"/>
              </w:rPr>
              <w:br/>
            </w:r>
            <w:r>
              <w:rPr>
                <w:color w:val="000000"/>
              </w:rPr>
              <w:br/>
            </w:r>
          </w:p>
        </w:tc>
        <w:tc>
          <w:tcPr>
            <w:tcW w:w="2862" w:type="dxa"/>
            <w:shd w:val="clear" w:color="auto" w:fill="auto"/>
            <w:tcMar>
              <w:top w:w="10" w:type="dxa"/>
              <w:left w:w="10" w:type="dxa"/>
              <w:bottom w:w="0" w:type="dxa"/>
              <w:right w:w="10" w:type="dxa"/>
            </w:tcMar>
            <w:vAlign w:val="bottom"/>
            <w:hideMark/>
          </w:tcPr>
          <w:p w:rsidR="00FD0EC2" w:rsidRDefault="009A0434" w:rsidP="00430361">
            <w:pPr>
              <w:pStyle w:val="Gridtext"/>
              <w:rPr>
                <w:color w:val="000000"/>
              </w:rPr>
            </w:pPr>
            <w:r>
              <w:rPr>
                <w:color w:val="000000"/>
              </w:rPr>
              <w:t xml:space="preserve">Discuss convergence of U.S. GAAP and international accounting standards; </w:t>
            </w:r>
            <w:r w:rsidR="00430361">
              <w:rPr>
                <w:color w:val="000000"/>
              </w:rPr>
              <w:t>i</w:t>
            </w:r>
            <w:r>
              <w:rPr>
                <w:color w:val="000000"/>
              </w:rPr>
              <w:t>nclude discussion of SEC and its role in this convergence; Includes IFRS</w:t>
            </w:r>
          </w:p>
        </w:tc>
        <w:tc>
          <w:tcPr>
            <w:tcW w:w="288" w:type="dxa"/>
            <w:shd w:val="clear" w:color="auto" w:fill="auto"/>
            <w:tcMar>
              <w:top w:w="10" w:type="dxa"/>
              <w:left w:w="10" w:type="dxa"/>
              <w:bottom w:w="0" w:type="dxa"/>
              <w:right w:w="10" w:type="dxa"/>
            </w:tcMar>
            <w:vAlign w:val="bottom"/>
            <w:hideMark/>
          </w:tcPr>
          <w:p w:rsidR="00FD0EC2" w:rsidRDefault="005614E4" w:rsidP="008D0BB2">
            <w:pPr>
              <w:pStyle w:val="Gridtext"/>
              <w:jc w:val="center"/>
              <w:rPr>
                <w:color w:val="000000"/>
              </w:rPr>
            </w:pPr>
            <w:r>
              <w:rPr>
                <w:color w:val="000000"/>
              </w:rPr>
              <w:t>5</w:t>
            </w:r>
            <w:r w:rsidR="00773A5B">
              <w:rPr>
                <w:color w:val="000000"/>
              </w:rPr>
              <w:br/>
            </w:r>
            <w:r w:rsidR="00773A5B">
              <w:rPr>
                <w:color w:val="000000"/>
              </w:rPr>
              <w:br/>
            </w:r>
            <w:r w:rsidR="00773A5B">
              <w:rPr>
                <w:color w:val="000000"/>
              </w:rPr>
              <w:br/>
            </w:r>
            <w:r w:rsidR="00773A5B">
              <w:rPr>
                <w:color w:val="000000"/>
              </w:rPr>
              <w:br/>
            </w:r>
            <w:r w:rsidR="00773A5B">
              <w:rPr>
                <w:color w:val="000000"/>
              </w:rPr>
              <w:br/>
            </w:r>
          </w:p>
        </w:tc>
        <w:tc>
          <w:tcPr>
            <w:tcW w:w="717" w:type="dxa"/>
            <w:shd w:val="clear" w:color="auto" w:fill="auto"/>
            <w:noWrap/>
            <w:tcMar>
              <w:top w:w="10" w:type="dxa"/>
              <w:left w:w="10" w:type="dxa"/>
              <w:bottom w:w="0" w:type="dxa"/>
              <w:right w:w="10" w:type="dxa"/>
            </w:tcMar>
            <w:vAlign w:val="bottom"/>
            <w:hideMark/>
          </w:tcPr>
          <w:p w:rsidR="00FD0EC2" w:rsidRPr="000B4B45" w:rsidRDefault="00FD0EC2" w:rsidP="00B91A3B">
            <w:pPr>
              <w:pStyle w:val="Gridtext"/>
            </w:pPr>
          </w:p>
        </w:tc>
        <w:tc>
          <w:tcPr>
            <w:tcW w:w="1252"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Moderate</w:t>
            </w:r>
            <w:r>
              <w:rPr>
                <w:color w:val="000000"/>
              </w:rPr>
              <w:br/>
            </w:r>
            <w:r>
              <w:rPr>
                <w:color w:val="000000"/>
              </w:rPr>
              <w:br/>
            </w:r>
            <w:r>
              <w:rPr>
                <w:color w:val="000000"/>
              </w:rPr>
              <w:br/>
            </w:r>
            <w:r>
              <w:rPr>
                <w:color w:val="000000"/>
              </w:rPr>
              <w:br/>
            </w:r>
            <w:r>
              <w:rPr>
                <w:color w:val="000000"/>
              </w:rPr>
              <w:br/>
            </w:r>
          </w:p>
        </w:tc>
        <w:tc>
          <w:tcPr>
            <w:tcW w:w="431" w:type="dxa"/>
            <w:shd w:val="clear" w:color="auto" w:fill="auto"/>
            <w:noWrap/>
            <w:tcMar>
              <w:top w:w="10" w:type="dxa"/>
              <w:left w:w="10" w:type="dxa"/>
              <w:bottom w:w="0" w:type="dxa"/>
              <w:right w:w="10" w:type="dxa"/>
            </w:tcMar>
            <w:vAlign w:val="bottom"/>
            <w:hideMark/>
          </w:tcPr>
          <w:p w:rsidR="00FD0EC2" w:rsidRDefault="00773A5B" w:rsidP="008D0BB2">
            <w:pPr>
              <w:pStyle w:val="Gridtext"/>
              <w:jc w:val="center"/>
              <w:rPr>
                <w:color w:val="000000"/>
              </w:rPr>
            </w:pPr>
            <w:r>
              <w:rPr>
                <w:color w:val="000000"/>
              </w:rPr>
              <w:t>10</w:t>
            </w:r>
            <w:r>
              <w:rPr>
                <w:color w:val="000000"/>
              </w:rPr>
              <w:br/>
            </w:r>
            <w:r>
              <w:rPr>
                <w:color w:val="000000"/>
              </w:rPr>
              <w:br/>
            </w:r>
            <w:r>
              <w:rPr>
                <w:color w:val="000000"/>
              </w:rPr>
              <w:br/>
            </w:r>
            <w:r>
              <w:rPr>
                <w:color w:val="000000"/>
              </w:rPr>
              <w:br/>
            </w:r>
            <w:r>
              <w:rPr>
                <w:color w:val="000000"/>
              </w:rPr>
              <w:br/>
            </w:r>
          </w:p>
        </w:tc>
        <w:tc>
          <w:tcPr>
            <w:tcW w:w="1288"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Analytic</w:t>
            </w:r>
            <w:r>
              <w:rPr>
                <w:color w:val="000000"/>
              </w:rPr>
              <w:br/>
            </w:r>
            <w:r>
              <w:rPr>
                <w:color w:val="000000"/>
              </w:rPr>
              <w:br/>
            </w:r>
            <w:r>
              <w:rPr>
                <w:color w:val="000000"/>
              </w:rPr>
              <w:br/>
            </w:r>
            <w:r>
              <w:rPr>
                <w:color w:val="000000"/>
              </w:rPr>
              <w:br/>
            </w:r>
            <w:r>
              <w:rPr>
                <w:color w:val="000000"/>
              </w:rPr>
              <w:br/>
            </w:r>
          </w:p>
        </w:tc>
        <w:tc>
          <w:tcPr>
            <w:tcW w:w="1432"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Measurement</w:t>
            </w:r>
            <w:r>
              <w:rPr>
                <w:color w:val="000000"/>
              </w:rPr>
              <w:br/>
            </w:r>
            <w:r>
              <w:rPr>
                <w:color w:val="000000"/>
              </w:rPr>
              <w:br/>
            </w:r>
            <w:r>
              <w:rPr>
                <w:color w:val="000000"/>
              </w:rPr>
              <w:br/>
            </w:r>
            <w:r>
              <w:rPr>
                <w:color w:val="000000"/>
              </w:rPr>
              <w:br/>
            </w:r>
            <w:r>
              <w:rPr>
                <w:color w:val="000000"/>
              </w:rPr>
              <w:br/>
            </w:r>
          </w:p>
        </w:tc>
        <w:tc>
          <w:tcPr>
            <w:tcW w:w="1575"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Application</w:t>
            </w:r>
            <w:r>
              <w:rPr>
                <w:color w:val="000000"/>
              </w:rPr>
              <w:br/>
            </w:r>
            <w:r>
              <w:rPr>
                <w:color w:val="000000"/>
              </w:rPr>
              <w:br/>
            </w:r>
            <w:r>
              <w:rPr>
                <w:color w:val="000000"/>
              </w:rPr>
              <w:br/>
            </w:r>
            <w:r>
              <w:rPr>
                <w:color w:val="000000"/>
              </w:rPr>
              <w:br/>
            </w:r>
            <w:r>
              <w:rPr>
                <w:color w:val="000000"/>
              </w:rPr>
              <w:br/>
            </w:r>
          </w:p>
        </w:tc>
      </w:tr>
      <w:tr w:rsidR="00FD0EC2" w:rsidRPr="000B4B45" w:rsidTr="00892E6D">
        <w:trPr>
          <w:trHeight w:val="300"/>
        </w:trPr>
        <w:tc>
          <w:tcPr>
            <w:tcW w:w="825" w:type="dxa"/>
            <w:shd w:val="clear" w:color="auto" w:fill="auto"/>
            <w:noWrap/>
            <w:tcMar>
              <w:top w:w="10" w:type="dxa"/>
              <w:left w:w="10" w:type="dxa"/>
              <w:bottom w:w="0" w:type="dxa"/>
              <w:right w:w="10" w:type="dxa"/>
            </w:tcMar>
            <w:vAlign w:val="bottom"/>
            <w:hideMark/>
          </w:tcPr>
          <w:p w:rsidR="00FD0EC2" w:rsidRDefault="009A0434" w:rsidP="00004942">
            <w:pPr>
              <w:pStyle w:val="Gridtext"/>
            </w:pPr>
            <w:r>
              <w:t>C1-7</w:t>
            </w:r>
            <w:r w:rsidR="00773A5B">
              <w:br/>
            </w:r>
            <w:r w:rsidR="00773A5B">
              <w:br/>
            </w:r>
            <w:r w:rsidR="002C25FB">
              <w:br/>
            </w:r>
            <w:r w:rsidR="002C25FB">
              <w:br/>
            </w:r>
            <w:r w:rsidR="00773A5B">
              <w:br/>
            </w:r>
          </w:p>
        </w:tc>
        <w:tc>
          <w:tcPr>
            <w:tcW w:w="2146" w:type="dxa"/>
            <w:shd w:val="clear" w:color="auto" w:fill="auto"/>
            <w:tcMar>
              <w:top w:w="10" w:type="dxa"/>
              <w:left w:w="10" w:type="dxa"/>
              <w:bottom w:w="0" w:type="dxa"/>
              <w:right w:w="10" w:type="dxa"/>
            </w:tcMar>
            <w:vAlign w:val="bottom"/>
            <w:hideMark/>
          </w:tcPr>
          <w:p w:rsidR="00FD0EC2" w:rsidRDefault="00430361" w:rsidP="00430361">
            <w:pPr>
              <w:pStyle w:val="Gridtext"/>
              <w:rPr>
                <w:color w:val="000000"/>
              </w:rPr>
            </w:pPr>
            <w:r w:rsidRPr="00430361">
              <w:rPr>
                <w:color w:val="000000"/>
              </w:rPr>
              <w:t>Starbucks</w:t>
            </w:r>
            <w:r w:rsidR="005614E4">
              <w:rPr>
                <w:color w:val="000000"/>
              </w:rPr>
              <w:t>’s</w:t>
            </w:r>
            <w:r w:rsidR="009A0434">
              <w:rPr>
                <w:color w:val="000000"/>
              </w:rPr>
              <w:t xml:space="preserve"> Financial Statements</w:t>
            </w:r>
            <w:r w:rsidR="009568BF">
              <w:rPr>
                <w:color w:val="000000"/>
              </w:rPr>
              <w:br/>
            </w:r>
            <w:r w:rsidR="00773A5B">
              <w:rPr>
                <w:color w:val="000000"/>
              </w:rPr>
              <w:br/>
            </w:r>
            <w:r w:rsidR="002C25FB">
              <w:rPr>
                <w:color w:val="000000"/>
              </w:rPr>
              <w:br/>
            </w:r>
            <w:r w:rsidR="002C25FB">
              <w:rPr>
                <w:color w:val="000000"/>
              </w:rPr>
              <w:br/>
            </w:r>
          </w:p>
        </w:tc>
        <w:tc>
          <w:tcPr>
            <w:tcW w:w="2862" w:type="dxa"/>
            <w:shd w:val="clear" w:color="auto" w:fill="auto"/>
            <w:tcMar>
              <w:top w:w="10" w:type="dxa"/>
              <w:left w:w="10" w:type="dxa"/>
              <w:bottom w:w="0" w:type="dxa"/>
              <w:right w:w="10" w:type="dxa"/>
            </w:tcMar>
            <w:vAlign w:val="bottom"/>
            <w:hideMark/>
          </w:tcPr>
          <w:p w:rsidR="00FD0EC2" w:rsidRDefault="00773A5B" w:rsidP="002C25FB">
            <w:pPr>
              <w:pStyle w:val="Gridtext"/>
              <w:rPr>
                <w:color w:val="000000"/>
              </w:rPr>
            </w:pPr>
            <w:r>
              <w:rPr>
                <w:color w:val="000000"/>
              </w:rPr>
              <w:t>Identify two important pieces of information from each of the four primary financial statements</w:t>
            </w:r>
            <w:r w:rsidR="002C25FB">
              <w:rPr>
                <w:color w:val="000000"/>
              </w:rPr>
              <w:t xml:space="preserve"> </w:t>
            </w:r>
            <w:r w:rsidR="002C25FB" w:rsidRPr="002C25FB">
              <w:rPr>
                <w:color w:val="000000"/>
              </w:rPr>
              <w:t>and management discussion and analysis</w:t>
            </w:r>
          </w:p>
        </w:tc>
        <w:tc>
          <w:tcPr>
            <w:tcW w:w="288" w:type="dxa"/>
            <w:shd w:val="clear" w:color="auto" w:fill="auto"/>
            <w:tcMar>
              <w:top w:w="10" w:type="dxa"/>
              <w:left w:w="10" w:type="dxa"/>
              <w:bottom w:w="0" w:type="dxa"/>
              <w:right w:w="10" w:type="dxa"/>
            </w:tcMar>
            <w:vAlign w:val="bottom"/>
            <w:hideMark/>
          </w:tcPr>
          <w:p w:rsidR="00FD0EC2" w:rsidRDefault="005614E4" w:rsidP="008D0BB2">
            <w:pPr>
              <w:pStyle w:val="Gridtext"/>
              <w:jc w:val="center"/>
              <w:rPr>
                <w:color w:val="000000"/>
              </w:rPr>
            </w:pPr>
            <w:r>
              <w:rPr>
                <w:color w:val="000000"/>
              </w:rPr>
              <w:t>6</w:t>
            </w:r>
            <w:r w:rsidR="00773A5B">
              <w:rPr>
                <w:color w:val="000000"/>
              </w:rPr>
              <w:br/>
            </w:r>
            <w:r w:rsidR="00773A5B">
              <w:rPr>
                <w:color w:val="000000"/>
              </w:rPr>
              <w:br/>
            </w:r>
            <w:r w:rsidR="00773A5B">
              <w:rPr>
                <w:color w:val="000000"/>
              </w:rPr>
              <w:br/>
            </w:r>
            <w:r w:rsidR="002C25FB">
              <w:rPr>
                <w:color w:val="000000"/>
              </w:rPr>
              <w:br/>
            </w:r>
            <w:r w:rsidR="002C25FB">
              <w:rPr>
                <w:color w:val="000000"/>
              </w:rPr>
              <w:br/>
            </w:r>
          </w:p>
        </w:tc>
        <w:tc>
          <w:tcPr>
            <w:tcW w:w="717" w:type="dxa"/>
            <w:shd w:val="clear" w:color="auto" w:fill="auto"/>
            <w:noWrap/>
            <w:tcMar>
              <w:top w:w="10" w:type="dxa"/>
              <w:left w:w="10" w:type="dxa"/>
              <w:bottom w:w="0" w:type="dxa"/>
              <w:right w:w="10" w:type="dxa"/>
            </w:tcMar>
            <w:vAlign w:val="bottom"/>
            <w:hideMark/>
          </w:tcPr>
          <w:p w:rsidR="00FD0EC2" w:rsidRPr="000B4B45" w:rsidRDefault="00FD0EC2" w:rsidP="00B91A3B">
            <w:pPr>
              <w:pStyle w:val="Gridtext"/>
            </w:pPr>
          </w:p>
        </w:tc>
        <w:tc>
          <w:tcPr>
            <w:tcW w:w="1252"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Moderate</w:t>
            </w:r>
            <w:r>
              <w:rPr>
                <w:color w:val="000000"/>
              </w:rPr>
              <w:br/>
            </w:r>
            <w:r>
              <w:rPr>
                <w:color w:val="000000"/>
              </w:rPr>
              <w:br/>
            </w:r>
            <w:r w:rsidR="002C25FB">
              <w:rPr>
                <w:color w:val="000000"/>
              </w:rPr>
              <w:br/>
            </w:r>
            <w:r w:rsidR="002C25FB">
              <w:rPr>
                <w:color w:val="000000"/>
              </w:rPr>
              <w:br/>
            </w:r>
            <w:r>
              <w:rPr>
                <w:color w:val="000000"/>
              </w:rPr>
              <w:br/>
            </w:r>
          </w:p>
        </w:tc>
        <w:tc>
          <w:tcPr>
            <w:tcW w:w="431" w:type="dxa"/>
            <w:shd w:val="clear" w:color="auto" w:fill="auto"/>
            <w:noWrap/>
            <w:tcMar>
              <w:top w:w="10" w:type="dxa"/>
              <w:left w:w="10" w:type="dxa"/>
              <w:bottom w:w="0" w:type="dxa"/>
              <w:right w:w="10" w:type="dxa"/>
            </w:tcMar>
            <w:vAlign w:val="bottom"/>
            <w:hideMark/>
          </w:tcPr>
          <w:p w:rsidR="00FD0EC2" w:rsidRDefault="00773A5B" w:rsidP="008D0BB2">
            <w:pPr>
              <w:pStyle w:val="Gridtext"/>
              <w:jc w:val="center"/>
              <w:rPr>
                <w:color w:val="000000"/>
              </w:rPr>
            </w:pPr>
            <w:r>
              <w:rPr>
                <w:color w:val="000000"/>
              </w:rPr>
              <w:t>20</w:t>
            </w:r>
            <w:r>
              <w:rPr>
                <w:color w:val="000000"/>
              </w:rPr>
              <w:br/>
            </w:r>
            <w:r>
              <w:rPr>
                <w:color w:val="000000"/>
              </w:rPr>
              <w:br/>
            </w:r>
            <w:r w:rsidR="002C25FB">
              <w:rPr>
                <w:color w:val="000000"/>
              </w:rPr>
              <w:br/>
            </w:r>
            <w:r w:rsidR="002C25FB">
              <w:rPr>
                <w:color w:val="000000"/>
              </w:rPr>
              <w:br/>
            </w:r>
            <w:r>
              <w:rPr>
                <w:color w:val="000000"/>
              </w:rPr>
              <w:br/>
            </w:r>
          </w:p>
        </w:tc>
        <w:tc>
          <w:tcPr>
            <w:tcW w:w="1288"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Analytic</w:t>
            </w:r>
            <w:r>
              <w:rPr>
                <w:color w:val="000000"/>
              </w:rPr>
              <w:br/>
            </w:r>
            <w:r>
              <w:rPr>
                <w:color w:val="000000"/>
              </w:rPr>
              <w:br/>
            </w:r>
            <w:r w:rsidR="002C25FB">
              <w:rPr>
                <w:color w:val="000000"/>
              </w:rPr>
              <w:br/>
            </w:r>
            <w:r w:rsidR="002C25FB">
              <w:rPr>
                <w:color w:val="000000"/>
              </w:rPr>
              <w:br/>
            </w:r>
            <w:r>
              <w:rPr>
                <w:color w:val="000000"/>
              </w:rPr>
              <w:br/>
            </w:r>
          </w:p>
        </w:tc>
        <w:tc>
          <w:tcPr>
            <w:tcW w:w="1432"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Reporting</w:t>
            </w:r>
            <w:r>
              <w:rPr>
                <w:color w:val="000000"/>
              </w:rPr>
              <w:br/>
            </w:r>
            <w:r>
              <w:rPr>
                <w:color w:val="000000"/>
              </w:rPr>
              <w:br/>
            </w:r>
            <w:r w:rsidR="002C25FB">
              <w:rPr>
                <w:color w:val="000000"/>
              </w:rPr>
              <w:br/>
            </w:r>
            <w:r w:rsidR="002C25FB">
              <w:rPr>
                <w:color w:val="000000"/>
              </w:rPr>
              <w:br/>
            </w:r>
            <w:r>
              <w:rPr>
                <w:color w:val="000000"/>
              </w:rPr>
              <w:br/>
            </w:r>
          </w:p>
        </w:tc>
        <w:tc>
          <w:tcPr>
            <w:tcW w:w="1575"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Application</w:t>
            </w:r>
            <w:r>
              <w:rPr>
                <w:color w:val="000000"/>
              </w:rPr>
              <w:br/>
            </w:r>
            <w:r>
              <w:rPr>
                <w:color w:val="000000"/>
              </w:rPr>
              <w:br/>
            </w:r>
            <w:r w:rsidR="002C25FB">
              <w:rPr>
                <w:color w:val="000000"/>
              </w:rPr>
              <w:br/>
            </w:r>
            <w:r w:rsidR="002C25FB">
              <w:rPr>
                <w:color w:val="000000"/>
              </w:rPr>
              <w:br/>
            </w:r>
            <w:r>
              <w:rPr>
                <w:color w:val="000000"/>
              </w:rPr>
              <w:br/>
            </w:r>
          </w:p>
        </w:tc>
      </w:tr>
    </w:tbl>
    <w:p w:rsidR="00773A5B" w:rsidRDefault="00773A5B" w:rsidP="00D61BBC">
      <w:pPr>
        <w:pStyle w:val="6pt"/>
      </w:pPr>
      <w:r>
        <w:br w:type="page"/>
      </w:r>
    </w:p>
    <w:tbl>
      <w:tblPr>
        <w:tblW w:w="12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825"/>
        <w:gridCol w:w="2146"/>
        <w:gridCol w:w="2862"/>
        <w:gridCol w:w="288"/>
        <w:gridCol w:w="717"/>
        <w:gridCol w:w="1252"/>
        <w:gridCol w:w="431"/>
        <w:gridCol w:w="1288"/>
        <w:gridCol w:w="1432"/>
        <w:gridCol w:w="1575"/>
      </w:tblGrid>
      <w:tr w:rsidR="00773A5B" w:rsidRPr="00F06876" w:rsidTr="00892E6D">
        <w:trPr>
          <w:trHeight w:val="300"/>
        </w:trPr>
        <w:tc>
          <w:tcPr>
            <w:tcW w:w="825" w:type="dxa"/>
            <w:shd w:val="clear" w:color="auto" w:fill="auto"/>
            <w:noWrap/>
            <w:tcMar>
              <w:top w:w="10" w:type="dxa"/>
              <w:left w:w="10" w:type="dxa"/>
              <w:bottom w:w="0" w:type="dxa"/>
              <w:right w:w="10" w:type="dxa"/>
            </w:tcMar>
            <w:vAlign w:val="bottom"/>
            <w:hideMark/>
          </w:tcPr>
          <w:p w:rsidR="00773A5B" w:rsidRPr="00F06876" w:rsidRDefault="00773A5B" w:rsidP="0012553A">
            <w:pPr>
              <w:pStyle w:val="Gridtextheads"/>
            </w:pPr>
            <w:r w:rsidRPr="00F06876">
              <w:lastRenderedPageBreak/>
              <w:t>Number</w:t>
            </w:r>
          </w:p>
        </w:tc>
        <w:tc>
          <w:tcPr>
            <w:tcW w:w="2146" w:type="dxa"/>
            <w:shd w:val="clear" w:color="auto" w:fill="auto"/>
            <w:tcMar>
              <w:top w:w="10" w:type="dxa"/>
              <w:left w:w="10" w:type="dxa"/>
              <w:bottom w:w="0" w:type="dxa"/>
              <w:right w:w="10" w:type="dxa"/>
            </w:tcMar>
            <w:vAlign w:val="bottom"/>
            <w:hideMark/>
          </w:tcPr>
          <w:p w:rsidR="00773A5B" w:rsidRPr="00F06876" w:rsidRDefault="00773A5B" w:rsidP="0012553A">
            <w:pPr>
              <w:pStyle w:val="Gridtextheads"/>
            </w:pPr>
            <w:r w:rsidRPr="00F06876">
              <w:t>Topic</w:t>
            </w:r>
          </w:p>
        </w:tc>
        <w:tc>
          <w:tcPr>
            <w:tcW w:w="2862" w:type="dxa"/>
            <w:shd w:val="clear" w:color="auto" w:fill="auto"/>
            <w:tcMar>
              <w:top w:w="10" w:type="dxa"/>
              <w:left w:w="10" w:type="dxa"/>
              <w:bottom w:w="0" w:type="dxa"/>
              <w:right w:w="10" w:type="dxa"/>
            </w:tcMar>
            <w:vAlign w:val="bottom"/>
            <w:hideMark/>
          </w:tcPr>
          <w:p w:rsidR="00773A5B" w:rsidRPr="00F06876" w:rsidRDefault="00773A5B" w:rsidP="0012553A">
            <w:pPr>
              <w:pStyle w:val="Gridtextheads"/>
            </w:pPr>
            <w:r w:rsidRPr="00F06876">
              <w:t>Content</w:t>
            </w:r>
          </w:p>
        </w:tc>
        <w:tc>
          <w:tcPr>
            <w:tcW w:w="288" w:type="dxa"/>
            <w:shd w:val="clear" w:color="auto" w:fill="auto"/>
            <w:tcMar>
              <w:top w:w="10" w:type="dxa"/>
              <w:left w:w="10" w:type="dxa"/>
              <w:bottom w:w="0" w:type="dxa"/>
              <w:right w:w="10" w:type="dxa"/>
            </w:tcMar>
            <w:vAlign w:val="bottom"/>
            <w:hideMark/>
          </w:tcPr>
          <w:p w:rsidR="00773A5B" w:rsidRPr="00F06876" w:rsidRDefault="00773A5B" w:rsidP="008D0BB2">
            <w:pPr>
              <w:pStyle w:val="Gridtextheads"/>
            </w:pPr>
            <w:r w:rsidRPr="00F06876">
              <w:t>LO</w:t>
            </w:r>
          </w:p>
        </w:tc>
        <w:tc>
          <w:tcPr>
            <w:tcW w:w="717" w:type="dxa"/>
            <w:shd w:val="clear" w:color="auto" w:fill="auto"/>
            <w:noWrap/>
            <w:tcMar>
              <w:top w:w="10" w:type="dxa"/>
              <w:left w:w="10" w:type="dxa"/>
              <w:bottom w:w="0" w:type="dxa"/>
              <w:right w:w="10" w:type="dxa"/>
            </w:tcMar>
            <w:vAlign w:val="bottom"/>
            <w:hideMark/>
          </w:tcPr>
          <w:p w:rsidR="00773A5B" w:rsidRPr="00F06876" w:rsidRDefault="00773A5B" w:rsidP="0012553A">
            <w:pPr>
              <w:pStyle w:val="Gridtextheads"/>
            </w:pPr>
            <w:r w:rsidRPr="00F06876">
              <w:t>Adapted</w:t>
            </w:r>
          </w:p>
        </w:tc>
        <w:tc>
          <w:tcPr>
            <w:tcW w:w="1252" w:type="dxa"/>
            <w:shd w:val="clear" w:color="auto" w:fill="auto"/>
            <w:noWrap/>
            <w:tcMar>
              <w:top w:w="10" w:type="dxa"/>
              <w:left w:w="10" w:type="dxa"/>
              <w:bottom w:w="0" w:type="dxa"/>
              <w:right w:w="10" w:type="dxa"/>
            </w:tcMar>
            <w:vAlign w:val="bottom"/>
            <w:hideMark/>
          </w:tcPr>
          <w:p w:rsidR="00773A5B" w:rsidRPr="00F06876" w:rsidRDefault="00773A5B" w:rsidP="0012553A">
            <w:pPr>
              <w:pStyle w:val="Gridtextheads"/>
            </w:pPr>
            <w:r w:rsidRPr="00F06876">
              <w:t>Difficulty</w:t>
            </w:r>
          </w:p>
        </w:tc>
        <w:tc>
          <w:tcPr>
            <w:tcW w:w="431" w:type="dxa"/>
            <w:shd w:val="clear" w:color="auto" w:fill="auto"/>
            <w:noWrap/>
            <w:tcMar>
              <w:top w:w="10" w:type="dxa"/>
              <w:left w:w="10" w:type="dxa"/>
              <w:bottom w:w="0" w:type="dxa"/>
              <w:right w:w="10" w:type="dxa"/>
            </w:tcMar>
            <w:vAlign w:val="bottom"/>
            <w:hideMark/>
          </w:tcPr>
          <w:p w:rsidR="00773A5B" w:rsidRPr="00F06876" w:rsidRDefault="00773A5B" w:rsidP="008D0BB2">
            <w:pPr>
              <w:pStyle w:val="Gridtextheads"/>
            </w:pPr>
            <w:r w:rsidRPr="00F06876">
              <w:t>Time</w:t>
            </w:r>
            <w:r>
              <w:br/>
            </w:r>
            <w:r w:rsidRPr="00F06876">
              <w:t>Est</w:t>
            </w:r>
            <w:r>
              <w:t>.</w:t>
            </w:r>
          </w:p>
        </w:tc>
        <w:tc>
          <w:tcPr>
            <w:tcW w:w="1288" w:type="dxa"/>
            <w:shd w:val="clear" w:color="auto" w:fill="auto"/>
            <w:noWrap/>
            <w:tcMar>
              <w:top w:w="10" w:type="dxa"/>
              <w:left w:w="10" w:type="dxa"/>
              <w:bottom w:w="0" w:type="dxa"/>
              <w:right w:w="10" w:type="dxa"/>
            </w:tcMar>
            <w:vAlign w:val="bottom"/>
            <w:hideMark/>
          </w:tcPr>
          <w:p w:rsidR="00773A5B" w:rsidRPr="00F06876" w:rsidRDefault="00773A5B" w:rsidP="0012553A">
            <w:pPr>
              <w:pStyle w:val="Gridtextheads"/>
            </w:pPr>
            <w:r w:rsidRPr="00F06876">
              <w:t>AACSB</w:t>
            </w:r>
          </w:p>
        </w:tc>
        <w:tc>
          <w:tcPr>
            <w:tcW w:w="1432" w:type="dxa"/>
            <w:shd w:val="clear" w:color="auto" w:fill="auto"/>
            <w:noWrap/>
            <w:tcMar>
              <w:top w:w="10" w:type="dxa"/>
              <w:left w:w="10" w:type="dxa"/>
              <w:bottom w:w="0" w:type="dxa"/>
              <w:right w:w="10" w:type="dxa"/>
            </w:tcMar>
            <w:vAlign w:val="bottom"/>
            <w:hideMark/>
          </w:tcPr>
          <w:p w:rsidR="00773A5B" w:rsidRPr="00F06876" w:rsidRDefault="00773A5B" w:rsidP="0012553A">
            <w:pPr>
              <w:pStyle w:val="Gridtextheads"/>
            </w:pPr>
            <w:r w:rsidRPr="00F06876">
              <w:t>AICPA</w:t>
            </w:r>
          </w:p>
        </w:tc>
        <w:tc>
          <w:tcPr>
            <w:tcW w:w="1575" w:type="dxa"/>
            <w:shd w:val="clear" w:color="auto" w:fill="auto"/>
            <w:noWrap/>
            <w:tcMar>
              <w:top w:w="10" w:type="dxa"/>
              <w:left w:w="10" w:type="dxa"/>
              <w:bottom w:w="0" w:type="dxa"/>
              <w:right w:w="10" w:type="dxa"/>
            </w:tcMar>
            <w:vAlign w:val="bottom"/>
            <w:hideMark/>
          </w:tcPr>
          <w:p w:rsidR="00773A5B" w:rsidRPr="00F06876" w:rsidRDefault="00773A5B" w:rsidP="0012553A">
            <w:pPr>
              <w:pStyle w:val="Gridtextheads"/>
            </w:pPr>
            <w:r w:rsidRPr="00F06876">
              <w:t>Bloom’s</w:t>
            </w:r>
          </w:p>
        </w:tc>
      </w:tr>
      <w:tr w:rsidR="00892E6D" w:rsidRPr="000B4B45" w:rsidTr="00716618">
        <w:trPr>
          <w:trHeight w:val="300"/>
        </w:trPr>
        <w:tc>
          <w:tcPr>
            <w:tcW w:w="825" w:type="dxa"/>
            <w:shd w:val="clear" w:color="auto" w:fill="auto"/>
            <w:noWrap/>
            <w:tcMar>
              <w:top w:w="10" w:type="dxa"/>
              <w:left w:w="10" w:type="dxa"/>
              <w:bottom w:w="0" w:type="dxa"/>
              <w:right w:w="10" w:type="dxa"/>
            </w:tcMar>
            <w:vAlign w:val="bottom"/>
            <w:hideMark/>
          </w:tcPr>
          <w:p w:rsidR="00892E6D" w:rsidRDefault="00892E6D" w:rsidP="00716618">
            <w:pPr>
              <w:pStyle w:val="Gridtext"/>
            </w:pPr>
            <w:r>
              <w:t>C1-8</w:t>
            </w:r>
            <w:r>
              <w:br/>
            </w:r>
            <w:r>
              <w:br/>
            </w:r>
            <w:r>
              <w:br/>
            </w:r>
          </w:p>
        </w:tc>
        <w:tc>
          <w:tcPr>
            <w:tcW w:w="2146" w:type="dxa"/>
            <w:shd w:val="clear" w:color="auto" w:fill="auto"/>
            <w:tcMar>
              <w:top w:w="10" w:type="dxa"/>
              <w:left w:w="10" w:type="dxa"/>
              <w:bottom w:w="0" w:type="dxa"/>
              <w:right w:w="10" w:type="dxa"/>
            </w:tcMar>
            <w:vAlign w:val="bottom"/>
            <w:hideMark/>
          </w:tcPr>
          <w:p w:rsidR="00892E6D" w:rsidRPr="00430361" w:rsidRDefault="00892E6D" w:rsidP="00716618">
            <w:pPr>
              <w:pStyle w:val="Gridtext"/>
              <w:rPr>
                <w:color w:val="000000"/>
              </w:rPr>
            </w:pPr>
            <w:r w:rsidRPr="00430361">
              <w:rPr>
                <w:color w:val="000000"/>
              </w:rPr>
              <w:t>Nestl</w:t>
            </w:r>
            <w:r w:rsidRPr="00430361">
              <w:rPr>
                <w:rFonts w:cs="Times New Roman"/>
                <w:color w:val="000000"/>
              </w:rPr>
              <w:t>é</w:t>
            </w:r>
            <w:r w:rsidRPr="00430361">
              <w:rPr>
                <w:color w:val="000000"/>
              </w:rPr>
              <w:t>s Financial Statements</w:t>
            </w:r>
            <w:r w:rsidRPr="00430361">
              <w:rPr>
                <w:color w:val="000000"/>
              </w:rPr>
              <w:br/>
            </w:r>
            <w:r w:rsidRPr="00430361">
              <w:rPr>
                <w:color w:val="000000"/>
              </w:rPr>
              <w:br/>
            </w:r>
          </w:p>
        </w:tc>
        <w:tc>
          <w:tcPr>
            <w:tcW w:w="2862" w:type="dxa"/>
            <w:shd w:val="clear" w:color="auto" w:fill="auto"/>
            <w:tcMar>
              <w:top w:w="10" w:type="dxa"/>
              <w:left w:w="10" w:type="dxa"/>
              <w:bottom w:w="0" w:type="dxa"/>
              <w:right w:w="10" w:type="dxa"/>
            </w:tcMar>
            <w:vAlign w:val="bottom"/>
            <w:hideMark/>
          </w:tcPr>
          <w:p w:rsidR="00892E6D" w:rsidRDefault="00892E6D" w:rsidP="00716618">
            <w:pPr>
              <w:pStyle w:val="Gridtext"/>
              <w:rPr>
                <w:color w:val="000000"/>
              </w:rPr>
            </w:pPr>
            <w:r>
              <w:rPr>
                <w:color w:val="000000"/>
              </w:rPr>
              <w:t>Identify two important pieces of information from each of three primary financial statements</w:t>
            </w:r>
          </w:p>
        </w:tc>
        <w:tc>
          <w:tcPr>
            <w:tcW w:w="288" w:type="dxa"/>
            <w:shd w:val="clear" w:color="auto" w:fill="auto"/>
            <w:tcMar>
              <w:top w:w="10" w:type="dxa"/>
              <w:left w:w="10" w:type="dxa"/>
              <w:bottom w:w="0" w:type="dxa"/>
              <w:right w:w="10" w:type="dxa"/>
            </w:tcMar>
            <w:vAlign w:val="bottom"/>
            <w:hideMark/>
          </w:tcPr>
          <w:p w:rsidR="00892E6D" w:rsidRDefault="005614E4" w:rsidP="00716618">
            <w:pPr>
              <w:pStyle w:val="Gridtext"/>
              <w:jc w:val="center"/>
              <w:rPr>
                <w:color w:val="000000"/>
              </w:rPr>
            </w:pPr>
            <w:r>
              <w:rPr>
                <w:color w:val="000000"/>
              </w:rPr>
              <w:t>6</w:t>
            </w:r>
            <w:r w:rsidR="00892E6D">
              <w:rPr>
                <w:color w:val="000000"/>
              </w:rPr>
              <w:br/>
            </w:r>
            <w:r w:rsidR="00892E6D">
              <w:rPr>
                <w:color w:val="000000"/>
              </w:rPr>
              <w:br/>
            </w:r>
            <w:r w:rsidR="00892E6D">
              <w:rPr>
                <w:color w:val="000000"/>
              </w:rPr>
              <w:br/>
            </w:r>
          </w:p>
        </w:tc>
        <w:tc>
          <w:tcPr>
            <w:tcW w:w="717" w:type="dxa"/>
            <w:shd w:val="clear" w:color="auto" w:fill="auto"/>
            <w:noWrap/>
            <w:tcMar>
              <w:top w:w="10" w:type="dxa"/>
              <w:left w:w="10" w:type="dxa"/>
              <w:bottom w:w="0" w:type="dxa"/>
              <w:right w:w="10" w:type="dxa"/>
            </w:tcMar>
            <w:vAlign w:val="bottom"/>
            <w:hideMark/>
          </w:tcPr>
          <w:p w:rsidR="00892E6D" w:rsidRPr="000B4B45" w:rsidRDefault="00892E6D" w:rsidP="00716618">
            <w:pPr>
              <w:pStyle w:val="Gridtext"/>
            </w:pPr>
          </w:p>
        </w:tc>
        <w:tc>
          <w:tcPr>
            <w:tcW w:w="1252" w:type="dxa"/>
            <w:shd w:val="clear" w:color="auto" w:fill="auto"/>
            <w:noWrap/>
            <w:tcMar>
              <w:top w:w="10" w:type="dxa"/>
              <w:left w:w="10" w:type="dxa"/>
              <w:bottom w:w="0" w:type="dxa"/>
              <w:right w:w="10" w:type="dxa"/>
            </w:tcMar>
            <w:vAlign w:val="bottom"/>
            <w:hideMark/>
          </w:tcPr>
          <w:p w:rsidR="00892E6D" w:rsidRDefault="00892E6D" w:rsidP="00716618">
            <w:pPr>
              <w:pStyle w:val="Gridtext"/>
              <w:rPr>
                <w:color w:val="000000"/>
              </w:rPr>
            </w:pPr>
            <w:r>
              <w:rPr>
                <w:color w:val="000000"/>
              </w:rPr>
              <w:t>Moderate</w:t>
            </w:r>
            <w:r>
              <w:rPr>
                <w:color w:val="000000"/>
              </w:rPr>
              <w:br/>
            </w:r>
            <w:r>
              <w:rPr>
                <w:color w:val="000000"/>
              </w:rPr>
              <w:br/>
            </w:r>
            <w:r>
              <w:rPr>
                <w:color w:val="000000"/>
              </w:rPr>
              <w:br/>
            </w:r>
          </w:p>
        </w:tc>
        <w:tc>
          <w:tcPr>
            <w:tcW w:w="431" w:type="dxa"/>
            <w:shd w:val="clear" w:color="auto" w:fill="auto"/>
            <w:noWrap/>
            <w:tcMar>
              <w:top w:w="10" w:type="dxa"/>
              <w:left w:w="10" w:type="dxa"/>
              <w:bottom w:w="0" w:type="dxa"/>
              <w:right w:w="10" w:type="dxa"/>
            </w:tcMar>
            <w:vAlign w:val="bottom"/>
            <w:hideMark/>
          </w:tcPr>
          <w:p w:rsidR="00892E6D" w:rsidRDefault="00892E6D" w:rsidP="00716618">
            <w:pPr>
              <w:pStyle w:val="Gridtext"/>
              <w:jc w:val="center"/>
              <w:rPr>
                <w:color w:val="000000"/>
              </w:rPr>
            </w:pPr>
            <w:r>
              <w:rPr>
                <w:color w:val="000000"/>
              </w:rPr>
              <w:t>20</w:t>
            </w:r>
            <w:r>
              <w:rPr>
                <w:color w:val="000000"/>
              </w:rPr>
              <w:br/>
            </w:r>
            <w:r>
              <w:rPr>
                <w:color w:val="000000"/>
              </w:rPr>
              <w:br/>
            </w:r>
            <w:r>
              <w:rPr>
                <w:color w:val="000000"/>
              </w:rPr>
              <w:br/>
            </w:r>
          </w:p>
        </w:tc>
        <w:tc>
          <w:tcPr>
            <w:tcW w:w="1288" w:type="dxa"/>
            <w:shd w:val="clear" w:color="auto" w:fill="auto"/>
            <w:noWrap/>
            <w:tcMar>
              <w:top w:w="10" w:type="dxa"/>
              <w:left w:w="10" w:type="dxa"/>
              <w:bottom w:w="0" w:type="dxa"/>
              <w:right w:w="10" w:type="dxa"/>
            </w:tcMar>
            <w:vAlign w:val="bottom"/>
            <w:hideMark/>
          </w:tcPr>
          <w:p w:rsidR="00892E6D" w:rsidRDefault="00892E6D" w:rsidP="00716618">
            <w:pPr>
              <w:pStyle w:val="Gridtext"/>
              <w:rPr>
                <w:color w:val="000000"/>
              </w:rPr>
            </w:pPr>
            <w:r>
              <w:rPr>
                <w:color w:val="000000"/>
              </w:rPr>
              <w:t>Analytic</w:t>
            </w:r>
            <w:r>
              <w:rPr>
                <w:color w:val="000000"/>
              </w:rPr>
              <w:br/>
            </w:r>
            <w:r>
              <w:rPr>
                <w:color w:val="000000"/>
              </w:rPr>
              <w:br/>
            </w:r>
            <w:r>
              <w:rPr>
                <w:color w:val="000000"/>
              </w:rPr>
              <w:br/>
            </w:r>
          </w:p>
        </w:tc>
        <w:tc>
          <w:tcPr>
            <w:tcW w:w="1432" w:type="dxa"/>
            <w:shd w:val="clear" w:color="auto" w:fill="auto"/>
            <w:noWrap/>
            <w:tcMar>
              <w:top w:w="10" w:type="dxa"/>
              <w:left w:w="10" w:type="dxa"/>
              <w:bottom w:w="0" w:type="dxa"/>
              <w:right w:w="10" w:type="dxa"/>
            </w:tcMar>
            <w:vAlign w:val="bottom"/>
            <w:hideMark/>
          </w:tcPr>
          <w:p w:rsidR="00892E6D" w:rsidRDefault="00892E6D" w:rsidP="00716618">
            <w:pPr>
              <w:pStyle w:val="Gridtext"/>
              <w:rPr>
                <w:color w:val="000000"/>
              </w:rPr>
            </w:pPr>
            <w:r>
              <w:rPr>
                <w:color w:val="000000"/>
              </w:rPr>
              <w:t>Reporting</w:t>
            </w:r>
            <w:r>
              <w:rPr>
                <w:color w:val="000000"/>
              </w:rPr>
              <w:br/>
            </w:r>
            <w:r>
              <w:rPr>
                <w:color w:val="000000"/>
              </w:rPr>
              <w:br/>
            </w:r>
            <w:r>
              <w:rPr>
                <w:color w:val="000000"/>
              </w:rPr>
              <w:br/>
            </w:r>
          </w:p>
        </w:tc>
        <w:tc>
          <w:tcPr>
            <w:tcW w:w="1575" w:type="dxa"/>
            <w:shd w:val="clear" w:color="auto" w:fill="auto"/>
            <w:noWrap/>
            <w:tcMar>
              <w:top w:w="10" w:type="dxa"/>
              <w:left w:w="10" w:type="dxa"/>
              <w:bottom w:w="0" w:type="dxa"/>
              <w:right w:w="10" w:type="dxa"/>
            </w:tcMar>
            <w:vAlign w:val="bottom"/>
            <w:hideMark/>
          </w:tcPr>
          <w:p w:rsidR="00892E6D" w:rsidRDefault="00892E6D" w:rsidP="00716618">
            <w:pPr>
              <w:pStyle w:val="Gridtext"/>
              <w:rPr>
                <w:color w:val="000000"/>
              </w:rPr>
            </w:pPr>
            <w:r>
              <w:rPr>
                <w:color w:val="000000"/>
              </w:rPr>
              <w:t>Application</w:t>
            </w:r>
            <w:r>
              <w:rPr>
                <w:color w:val="000000"/>
              </w:rPr>
              <w:br/>
            </w:r>
            <w:r>
              <w:rPr>
                <w:color w:val="000000"/>
              </w:rPr>
              <w:br/>
            </w:r>
            <w:r>
              <w:rPr>
                <w:color w:val="000000"/>
              </w:rPr>
              <w:br/>
            </w:r>
          </w:p>
        </w:tc>
      </w:tr>
      <w:tr w:rsidR="00FD0EC2" w:rsidRPr="000B4B45" w:rsidTr="00892E6D">
        <w:trPr>
          <w:trHeight w:val="300"/>
        </w:trPr>
        <w:tc>
          <w:tcPr>
            <w:tcW w:w="825" w:type="dxa"/>
            <w:shd w:val="clear" w:color="auto" w:fill="auto"/>
            <w:noWrap/>
            <w:tcMar>
              <w:top w:w="10" w:type="dxa"/>
              <w:left w:w="10" w:type="dxa"/>
              <w:bottom w:w="0" w:type="dxa"/>
              <w:right w:w="10" w:type="dxa"/>
            </w:tcMar>
            <w:vAlign w:val="bottom"/>
            <w:hideMark/>
          </w:tcPr>
          <w:p w:rsidR="00FD0EC2" w:rsidRDefault="009A0434" w:rsidP="00004942">
            <w:pPr>
              <w:pStyle w:val="Gridtext"/>
            </w:pPr>
            <w:r>
              <w:t>C1-9</w:t>
            </w:r>
            <w:r w:rsidR="00391FA5">
              <w:br/>
            </w:r>
            <w:r w:rsidR="00391FA5">
              <w:br/>
            </w:r>
            <w:r w:rsidR="00391FA5">
              <w:br/>
            </w:r>
          </w:p>
        </w:tc>
        <w:tc>
          <w:tcPr>
            <w:tcW w:w="2146" w:type="dxa"/>
            <w:shd w:val="clear" w:color="auto" w:fill="auto"/>
            <w:tcMar>
              <w:top w:w="10" w:type="dxa"/>
              <w:left w:w="10" w:type="dxa"/>
              <w:bottom w:w="0" w:type="dxa"/>
              <w:right w:w="10" w:type="dxa"/>
            </w:tcMar>
            <w:vAlign w:val="bottom"/>
            <w:hideMark/>
          </w:tcPr>
          <w:p w:rsidR="00FD0EC2" w:rsidRDefault="009A0434" w:rsidP="00B91A3B">
            <w:pPr>
              <w:pStyle w:val="Gridtext"/>
              <w:rPr>
                <w:color w:val="000000"/>
              </w:rPr>
            </w:pPr>
            <w:r>
              <w:rPr>
                <w:color w:val="000000"/>
              </w:rPr>
              <w:t>Coca Cola's Financial Statements</w:t>
            </w:r>
            <w:r w:rsidR="00391FA5">
              <w:rPr>
                <w:color w:val="000000"/>
              </w:rPr>
              <w:br/>
            </w:r>
            <w:r w:rsidR="00391FA5">
              <w:rPr>
                <w:color w:val="000000"/>
              </w:rPr>
              <w:br/>
            </w:r>
          </w:p>
        </w:tc>
        <w:tc>
          <w:tcPr>
            <w:tcW w:w="2862" w:type="dxa"/>
            <w:shd w:val="clear" w:color="auto" w:fill="auto"/>
            <w:tcMar>
              <w:top w:w="10" w:type="dxa"/>
              <w:left w:w="10" w:type="dxa"/>
              <w:bottom w:w="0" w:type="dxa"/>
              <w:right w:w="10" w:type="dxa"/>
            </w:tcMar>
            <w:vAlign w:val="bottom"/>
            <w:hideMark/>
          </w:tcPr>
          <w:p w:rsidR="00FD0EC2" w:rsidRDefault="00773A5B" w:rsidP="0012553A">
            <w:pPr>
              <w:pStyle w:val="Gridtext"/>
              <w:rPr>
                <w:color w:val="000000"/>
              </w:rPr>
            </w:pPr>
            <w:r>
              <w:rPr>
                <w:color w:val="000000"/>
              </w:rPr>
              <w:t>Identify two important pieces of information from each of three primary financial statements</w:t>
            </w:r>
          </w:p>
        </w:tc>
        <w:tc>
          <w:tcPr>
            <w:tcW w:w="288" w:type="dxa"/>
            <w:shd w:val="clear" w:color="auto" w:fill="auto"/>
            <w:tcMar>
              <w:top w:w="10" w:type="dxa"/>
              <w:left w:w="10" w:type="dxa"/>
              <w:bottom w:w="0" w:type="dxa"/>
              <w:right w:w="10" w:type="dxa"/>
            </w:tcMar>
            <w:vAlign w:val="bottom"/>
            <w:hideMark/>
          </w:tcPr>
          <w:p w:rsidR="00FD0EC2" w:rsidRDefault="005614E4" w:rsidP="008D0BB2">
            <w:pPr>
              <w:pStyle w:val="Gridtext"/>
              <w:jc w:val="center"/>
              <w:rPr>
                <w:color w:val="000000"/>
              </w:rPr>
            </w:pPr>
            <w:r>
              <w:rPr>
                <w:color w:val="000000"/>
              </w:rPr>
              <w:t>6</w:t>
            </w:r>
            <w:r w:rsidR="00391FA5">
              <w:rPr>
                <w:color w:val="000000"/>
              </w:rPr>
              <w:br/>
            </w:r>
            <w:r w:rsidR="00391FA5">
              <w:rPr>
                <w:color w:val="000000"/>
              </w:rPr>
              <w:br/>
            </w:r>
            <w:r w:rsidR="00391FA5">
              <w:rPr>
                <w:color w:val="000000"/>
              </w:rPr>
              <w:br/>
            </w:r>
          </w:p>
        </w:tc>
        <w:tc>
          <w:tcPr>
            <w:tcW w:w="717" w:type="dxa"/>
            <w:shd w:val="clear" w:color="auto" w:fill="auto"/>
            <w:noWrap/>
            <w:tcMar>
              <w:top w:w="10" w:type="dxa"/>
              <w:left w:w="10" w:type="dxa"/>
              <w:bottom w:w="0" w:type="dxa"/>
              <w:right w:w="10" w:type="dxa"/>
            </w:tcMar>
            <w:vAlign w:val="bottom"/>
            <w:hideMark/>
          </w:tcPr>
          <w:p w:rsidR="00FD0EC2" w:rsidRPr="000B4B45" w:rsidRDefault="00FD0EC2" w:rsidP="00B91A3B">
            <w:pPr>
              <w:pStyle w:val="Gridtext"/>
            </w:pPr>
          </w:p>
        </w:tc>
        <w:tc>
          <w:tcPr>
            <w:tcW w:w="1252"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Moderate</w:t>
            </w:r>
            <w:r w:rsidR="00573BAD">
              <w:rPr>
                <w:color w:val="000000"/>
              </w:rPr>
              <w:br/>
            </w:r>
            <w:r w:rsidR="00573BAD">
              <w:rPr>
                <w:color w:val="000000"/>
              </w:rPr>
              <w:br/>
            </w:r>
            <w:r w:rsidR="00573BAD">
              <w:rPr>
                <w:color w:val="000000"/>
              </w:rPr>
              <w:br/>
            </w:r>
          </w:p>
        </w:tc>
        <w:tc>
          <w:tcPr>
            <w:tcW w:w="431" w:type="dxa"/>
            <w:shd w:val="clear" w:color="auto" w:fill="auto"/>
            <w:noWrap/>
            <w:tcMar>
              <w:top w:w="10" w:type="dxa"/>
              <w:left w:w="10" w:type="dxa"/>
              <w:bottom w:w="0" w:type="dxa"/>
              <w:right w:w="10" w:type="dxa"/>
            </w:tcMar>
            <w:vAlign w:val="bottom"/>
            <w:hideMark/>
          </w:tcPr>
          <w:p w:rsidR="00FD0EC2" w:rsidRDefault="00773A5B" w:rsidP="008D0BB2">
            <w:pPr>
              <w:pStyle w:val="Gridtext"/>
              <w:jc w:val="center"/>
              <w:rPr>
                <w:color w:val="000000"/>
              </w:rPr>
            </w:pPr>
            <w:r>
              <w:rPr>
                <w:color w:val="000000"/>
              </w:rPr>
              <w:t>20</w:t>
            </w:r>
            <w:r w:rsidR="00573BAD">
              <w:rPr>
                <w:color w:val="000000"/>
              </w:rPr>
              <w:br/>
            </w:r>
            <w:r w:rsidR="00573BAD">
              <w:rPr>
                <w:color w:val="000000"/>
              </w:rPr>
              <w:br/>
            </w:r>
            <w:r w:rsidR="00573BAD">
              <w:rPr>
                <w:color w:val="000000"/>
              </w:rPr>
              <w:br/>
            </w:r>
          </w:p>
        </w:tc>
        <w:tc>
          <w:tcPr>
            <w:tcW w:w="1288"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Analytic</w:t>
            </w:r>
            <w:r w:rsidR="00573BAD">
              <w:rPr>
                <w:color w:val="000000"/>
              </w:rPr>
              <w:br/>
            </w:r>
            <w:r w:rsidR="00573BAD">
              <w:rPr>
                <w:color w:val="000000"/>
              </w:rPr>
              <w:br/>
            </w:r>
            <w:r w:rsidR="00573BAD">
              <w:rPr>
                <w:color w:val="000000"/>
              </w:rPr>
              <w:br/>
            </w:r>
          </w:p>
        </w:tc>
        <w:tc>
          <w:tcPr>
            <w:tcW w:w="1432"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Reporting</w:t>
            </w:r>
            <w:r w:rsidR="00573BAD">
              <w:rPr>
                <w:color w:val="000000"/>
              </w:rPr>
              <w:br/>
            </w:r>
            <w:r w:rsidR="00573BAD">
              <w:rPr>
                <w:color w:val="000000"/>
              </w:rPr>
              <w:br/>
            </w:r>
            <w:r w:rsidR="00573BAD">
              <w:rPr>
                <w:color w:val="000000"/>
              </w:rPr>
              <w:br/>
            </w:r>
          </w:p>
        </w:tc>
        <w:tc>
          <w:tcPr>
            <w:tcW w:w="1575" w:type="dxa"/>
            <w:shd w:val="clear" w:color="auto" w:fill="auto"/>
            <w:noWrap/>
            <w:tcMar>
              <w:top w:w="10" w:type="dxa"/>
              <w:left w:w="10" w:type="dxa"/>
              <w:bottom w:w="0" w:type="dxa"/>
              <w:right w:w="10" w:type="dxa"/>
            </w:tcMar>
            <w:vAlign w:val="bottom"/>
            <w:hideMark/>
          </w:tcPr>
          <w:p w:rsidR="00FD0EC2" w:rsidRDefault="00773A5B" w:rsidP="00B91A3B">
            <w:pPr>
              <w:pStyle w:val="Gridtext"/>
              <w:rPr>
                <w:color w:val="000000"/>
              </w:rPr>
            </w:pPr>
            <w:r>
              <w:rPr>
                <w:color w:val="000000"/>
              </w:rPr>
              <w:t>Application</w:t>
            </w:r>
            <w:r w:rsidR="00573BAD">
              <w:rPr>
                <w:color w:val="000000"/>
              </w:rPr>
              <w:br/>
            </w:r>
            <w:r w:rsidR="00573BAD">
              <w:rPr>
                <w:color w:val="000000"/>
              </w:rPr>
              <w:br/>
            </w:r>
            <w:r w:rsidR="00573BAD">
              <w:rPr>
                <w:color w:val="000000"/>
              </w:rPr>
              <w:br/>
            </w:r>
          </w:p>
        </w:tc>
      </w:tr>
      <w:tr w:rsidR="00773A5B" w:rsidRPr="000B4B45" w:rsidTr="00892E6D">
        <w:trPr>
          <w:trHeight w:val="300"/>
        </w:trPr>
        <w:tc>
          <w:tcPr>
            <w:tcW w:w="825" w:type="dxa"/>
            <w:shd w:val="clear" w:color="auto" w:fill="auto"/>
            <w:noWrap/>
            <w:tcMar>
              <w:top w:w="10" w:type="dxa"/>
              <w:left w:w="10" w:type="dxa"/>
              <w:bottom w:w="0" w:type="dxa"/>
              <w:right w:w="10" w:type="dxa"/>
            </w:tcMar>
            <w:vAlign w:val="bottom"/>
            <w:hideMark/>
          </w:tcPr>
          <w:p w:rsidR="00773A5B" w:rsidRDefault="00773A5B" w:rsidP="00004942">
            <w:pPr>
              <w:pStyle w:val="Gridtext"/>
            </w:pPr>
            <w:r>
              <w:t>C1-10</w:t>
            </w:r>
            <w:r w:rsidR="00391FA5">
              <w:br/>
            </w:r>
            <w:r w:rsidR="00391FA5">
              <w:br/>
            </w:r>
          </w:p>
        </w:tc>
        <w:tc>
          <w:tcPr>
            <w:tcW w:w="2146" w:type="dxa"/>
            <w:shd w:val="clear" w:color="auto" w:fill="auto"/>
            <w:tcMar>
              <w:top w:w="10" w:type="dxa"/>
              <w:left w:w="10" w:type="dxa"/>
              <w:bottom w:w="0" w:type="dxa"/>
              <w:right w:w="10" w:type="dxa"/>
            </w:tcMar>
            <w:vAlign w:val="bottom"/>
            <w:hideMark/>
          </w:tcPr>
          <w:p w:rsidR="00773A5B" w:rsidRDefault="00773A5B" w:rsidP="00B91A3B">
            <w:pPr>
              <w:pStyle w:val="Gridtext"/>
              <w:rPr>
                <w:color w:val="000000"/>
              </w:rPr>
            </w:pPr>
            <w:r>
              <w:rPr>
                <w:color w:val="000000"/>
              </w:rPr>
              <w:t>Ethical Responsibilities</w:t>
            </w:r>
            <w:r w:rsidR="00391FA5">
              <w:rPr>
                <w:color w:val="000000"/>
              </w:rPr>
              <w:br/>
            </w:r>
            <w:r w:rsidR="00391FA5">
              <w:rPr>
                <w:color w:val="000000"/>
              </w:rPr>
              <w:br/>
            </w:r>
          </w:p>
        </w:tc>
        <w:tc>
          <w:tcPr>
            <w:tcW w:w="2862" w:type="dxa"/>
            <w:shd w:val="clear" w:color="auto" w:fill="auto"/>
            <w:tcMar>
              <w:top w:w="10" w:type="dxa"/>
              <w:left w:w="10" w:type="dxa"/>
              <w:bottom w:w="0" w:type="dxa"/>
              <w:right w:w="10" w:type="dxa"/>
            </w:tcMar>
            <w:vAlign w:val="bottom"/>
            <w:hideMark/>
          </w:tcPr>
          <w:p w:rsidR="00773A5B" w:rsidRDefault="00773A5B" w:rsidP="00773A5B">
            <w:pPr>
              <w:pStyle w:val="Gridtext"/>
              <w:rPr>
                <w:color w:val="000000"/>
              </w:rPr>
            </w:pPr>
            <w:r>
              <w:rPr>
                <w:color w:val="000000"/>
              </w:rPr>
              <w:t>Discuss steps to take in an ethical dilemma (“misplaced” book in library)</w:t>
            </w:r>
          </w:p>
        </w:tc>
        <w:tc>
          <w:tcPr>
            <w:tcW w:w="288" w:type="dxa"/>
            <w:shd w:val="clear" w:color="auto" w:fill="auto"/>
            <w:tcMar>
              <w:top w:w="10" w:type="dxa"/>
              <w:left w:w="10" w:type="dxa"/>
              <w:bottom w:w="0" w:type="dxa"/>
              <w:right w:w="10" w:type="dxa"/>
            </w:tcMar>
            <w:vAlign w:val="bottom"/>
            <w:hideMark/>
          </w:tcPr>
          <w:p w:rsidR="00773A5B" w:rsidRDefault="005614E4" w:rsidP="008D0BB2">
            <w:pPr>
              <w:jc w:val="center"/>
              <w:rPr>
                <w:color w:val="000000"/>
                <w:szCs w:val="20"/>
              </w:rPr>
            </w:pPr>
            <w:r>
              <w:rPr>
                <w:color w:val="000000"/>
                <w:szCs w:val="20"/>
              </w:rPr>
              <w:t>7</w:t>
            </w:r>
            <w:r w:rsidR="00391FA5">
              <w:rPr>
                <w:color w:val="000000"/>
                <w:szCs w:val="20"/>
              </w:rPr>
              <w:br/>
            </w:r>
            <w:r w:rsidR="00391FA5">
              <w:rPr>
                <w:color w:val="000000"/>
                <w:szCs w:val="20"/>
              </w:rPr>
              <w:br/>
            </w:r>
          </w:p>
        </w:tc>
        <w:tc>
          <w:tcPr>
            <w:tcW w:w="717" w:type="dxa"/>
            <w:shd w:val="clear" w:color="auto" w:fill="auto"/>
            <w:noWrap/>
            <w:tcMar>
              <w:top w:w="10" w:type="dxa"/>
              <w:left w:w="10" w:type="dxa"/>
              <w:bottom w:w="0" w:type="dxa"/>
              <w:right w:w="10" w:type="dxa"/>
            </w:tcMar>
            <w:vAlign w:val="bottom"/>
            <w:hideMark/>
          </w:tcPr>
          <w:p w:rsidR="00773A5B" w:rsidRPr="000B4B45" w:rsidRDefault="00773A5B" w:rsidP="00B91A3B">
            <w:pPr>
              <w:pStyle w:val="Gridtext"/>
            </w:pPr>
          </w:p>
        </w:tc>
        <w:tc>
          <w:tcPr>
            <w:tcW w:w="1252" w:type="dxa"/>
            <w:shd w:val="clear" w:color="auto" w:fill="auto"/>
            <w:noWrap/>
            <w:tcMar>
              <w:top w:w="10" w:type="dxa"/>
              <w:left w:w="10" w:type="dxa"/>
              <w:bottom w:w="0" w:type="dxa"/>
              <w:right w:w="10" w:type="dxa"/>
            </w:tcMar>
            <w:vAlign w:val="bottom"/>
            <w:hideMark/>
          </w:tcPr>
          <w:p w:rsidR="00773A5B" w:rsidRDefault="00773A5B" w:rsidP="00B91A3B">
            <w:pPr>
              <w:pStyle w:val="Gridtext"/>
              <w:rPr>
                <w:color w:val="000000"/>
              </w:rPr>
            </w:pPr>
            <w:r>
              <w:rPr>
                <w:color w:val="000000"/>
              </w:rPr>
              <w:t>Moderate</w:t>
            </w:r>
            <w:r w:rsidR="00573BAD">
              <w:rPr>
                <w:color w:val="000000"/>
              </w:rPr>
              <w:br/>
            </w:r>
            <w:r w:rsidR="00573BAD">
              <w:rPr>
                <w:color w:val="000000"/>
              </w:rPr>
              <w:br/>
            </w:r>
          </w:p>
        </w:tc>
        <w:tc>
          <w:tcPr>
            <w:tcW w:w="431" w:type="dxa"/>
            <w:shd w:val="clear" w:color="auto" w:fill="auto"/>
            <w:noWrap/>
            <w:tcMar>
              <w:top w:w="10" w:type="dxa"/>
              <w:left w:w="10" w:type="dxa"/>
              <w:bottom w:w="0" w:type="dxa"/>
              <w:right w:w="10" w:type="dxa"/>
            </w:tcMar>
            <w:vAlign w:val="bottom"/>
            <w:hideMark/>
          </w:tcPr>
          <w:p w:rsidR="00773A5B" w:rsidRDefault="00773A5B" w:rsidP="008D0BB2">
            <w:pPr>
              <w:pStyle w:val="Gridtext"/>
              <w:jc w:val="center"/>
              <w:rPr>
                <w:color w:val="000000"/>
              </w:rPr>
            </w:pPr>
            <w:r>
              <w:rPr>
                <w:color w:val="000000"/>
              </w:rPr>
              <w:t>5</w:t>
            </w:r>
            <w:r w:rsidR="00573BAD">
              <w:rPr>
                <w:color w:val="000000"/>
              </w:rPr>
              <w:br/>
            </w:r>
            <w:r w:rsidR="00573BAD">
              <w:rPr>
                <w:color w:val="000000"/>
              </w:rPr>
              <w:br/>
            </w:r>
          </w:p>
        </w:tc>
        <w:tc>
          <w:tcPr>
            <w:tcW w:w="1288" w:type="dxa"/>
            <w:shd w:val="clear" w:color="auto" w:fill="auto"/>
            <w:noWrap/>
            <w:tcMar>
              <w:top w:w="10" w:type="dxa"/>
              <w:left w:w="10" w:type="dxa"/>
              <w:bottom w:w="0" w:type="dxa"/>
              <w:right w:w="10" w:type="dxa"/>
            </w:tcMar>
            <w:vAlign w:val="bottom"/>
            <w:hideMark/>
          </w:tcPr>
          <w:p w:rsidR="00773A5B" w:rsidRDefault="00773A5B" w:rsidP="00B91A3B">
            <w:pPr>
              <w:pStyle w:val="Gridtext"/>
              <w:rPr>
                <w:color w:val="000000"/>
              </w:rPr>
            </w:pPr>
            <w:r>
              <w:rPr>
                <w:color w:val="000000"/>
              </w:rPr>
              <w:t>Reflective Thinking</w:t>
            </w:r>
            <w:r w:rsidR="00573BAD">
              <w:rPr>
                <w:color w:val="000000"/>
              </w:rPr>
              <w:br/>
            </w:r>
          </w:p>
        </w:tc>
        <w:tc>
          <w:tcPr>
            <w:tcW w:w="1432" w:type="dxa"/>
            <w:shd w:val="clear" w:color="auto" w:fill="auto"/>
            <w:noWrap/>
            <w:tcMar>
              <w:top w:w="10" w:type="dxa"/>
              <w:left w:w="10" w:type="dxa"/>
              <w:bottom w:w="0" w:type="dxa"/>
              <w:right w:w="10" w:type="dxa"/>
            </w:tcMar>
            <w:vAlign w:val="bottom"/>
            <w:hideMark/>
          </w:tcPr>
          <w:p w:rsidR="00773A5B" w:rsidRDefault="00773A5B" w:rsidP="00B91A3B">
            <w:pPr>
              <w:pStyle w:val="Gridtext"/>
              <w:rPr>
                <w:color w:val="000000"/>
              </w:rPr>
            </w:pPr>
            <w:r>
              <w:rPr>
                <w:color w:val="000000"/>
              </w:rPr>
              <w:t>Measurement</w:t>
            </w:r>
            <w:r w:rsidR="00573BAD">
              <w:rPr>
                <w:color w:val="000000"/>
              </w:rPr>
              <w:br/>
            </w:r>
            <w:r w:rsidR="00573BAD">
              <w:rPr>
                <w:color w:val="000000"/>
              </w:rPr>
              <w:br/>
            </w:r>
          </w:p>
        </w:tc>
        <w:tc>
          <w:tcPr>
            <w:tcW w:w="1575" w:type="dxa"/>
            <w:shd w:val="clear" w:color="auto" w:fill="auto"/>
            <w:noWrap/>
            <w:tcMar>
              <w:top w:w="10" w:type="dxa"/>
              <w:left w:w="10" w:type="dxa"/>
              <w:bottom w:w="0" w:type="dxa"/>
              <w:right w:w="10" w:type="dxa"/>
            </w:tcMar>
            <w:vAlign w:val="bottom"/>
            <w:hideMark/>
          </w:tcPr>
          <w:p w:rsidR="00773A5B" w:rsidRDefault="00773A5B" w:rsidP="00B91A3B">
            <w:pPr>
              <w:pStyle w:val="Gridtext"/>
              <w:rPr>
                <w:color w:val="000000"/>
              </w:rPr>
            </w:pPr>
            <w:r>
              <w:rPr>
                <w:color w:val="000000"/>
              </w:rPr>
              <w:t>Analysis</w:t>
            </w:r>
            <w:r w:rsidR="00573BAD">
              <w:rPr>
                <w:color w:val="000000"/>
              </w:rPr>
              <w:br/>
            </w:r>
            <w:r w:rsidR="00573BAD">
              <w:rPr>
                <w:color w:val="000000"/>
              </w:rPr>
              <w:br/>
            </w:r>
          </w:p>
        </w:tc>
      </w:tr>
      <w:tr w:rsidR="00906059" w:rsidRPr="000B4B45" w:rsidTr="00892E6D">
        <w:trPr>
          <w:trHeight w:val="300"/>
        </w:trPr>
        <w:tc>
          <w:tcPr>
            <w:tcW w:w="825" w:type="dxa"/>
            <w:shd w:val="clear" w:color="auto" w:fill="auto"/>
            <w:noWrap/>
            <w:tcMar>
              <w:top w:w="10" w:type="dxa"/>
              <w:left w:w="10" w:type="dxa"/>
              <w:bottom w:w="0" w:type="dxa"/>
              <w:right w:w="10" w:type="dxa"/>
            </w:tcMar>
            <w:vAlign w:val="bottom"/>
            <w:hideMark/>
          </w:tcPr>
          <w:p w:rsidR="00906059" w:rsidRDefault="00906059" w:rsidP="00004942">
            <w:pPr>
              <w:pStyle w:val="Gridtext"/>
            </w:pPr>
            <w:r>
              <w:t>C1-11</w:t>
            </w:r>
            <w:r w:rsidR="00391FA5">
              <w:br/>
            </w:r>
            <w:r w:rsidR="00391FA5">
              <w:br/>
            </w:r>
          </w:p>
        </w:tc>
        <w:tc>
          <w:tcPr>
            <w:tcW w:w="2146" w:type="dxa"/>
            <w:shd w:val="clear" w:color="auto" w:fill="auto"/>
            <w:tcMar>
              <w:top w:w="10" w:type="dxa"/>
              <w:left w:w="10" w:type="dxa"/>
              <w:bottom w:w="0" w:type="dxa"/>
              <w:right w:w="10" w:type="dxa"/>
            </w:tcMar>
            <w:vAlign w:val="bottom"/>
            <w:hideMark/>
          </w:tcPr>
          <w:p w:rsidR="00906059" w:rsidRDefault="00906059" w:rsidP="00B91A3B">
            <w:pPr>
              <w:pStyle w:val="Gridtext"/>
              <w:rPr>
                <w:color w:val="000000"/>
              </w:rPr>
            </w:pPr>
            <w:r>
              <w:rPr>
                <w:color w:val="000000"/>
              </w:rPr>
              <w:t>Ethical Responsibilities</w:t>
            </w:r>
            <w:r w:rsidR="00391FA5">
              <w:rPr>
                <w:color w:val="000000"/>
              </w:rPr>
              <w:br/>
            </w:r>
            <w:r w:rsidR="00391FA5">
              <w:rPr>
                <w:color w:val="000000"/>
              </w:rPr>
              <w:br/>
            </w:r>
          </w:p>
        </w:tc>
        <w:tc>
          <w:tcPr>
            <w:tcW w:w="2862" w:type="dxa"/>
            <w:shd w:val="clear" w:color="auto" w:fill="auto"/>
            <w:tcMar>
              <w:top w:w="10" w:type="dxa"/>
              <w:left w:w="10" w:type="dxa"/>
              <w:bottom w:w="0" w:type="dxa"/>
              <w:right w:w="10" w:type="dxa"/>
            </w:tcMar>
            <w:vAlign w:val="bottom"/>
            <w:hideMark/>
          </w:tcPr>
          <w:p w:rsidR="00906059" w:rsidRDefault="00906059" w:rsidP="00773A5B">
            <w:pPr>
              <w:pStyle w:val="Gridtext"/>
              <w:rPr>
                <w:color w:val="000000"/>
              </w:rPr>
            </w:pPr>
            <w:r>
              <w:rPr>
                <w:color w:val="000000"/>
              </w:rPr>
              <w:t>Discuss steps to take in an ethical dilemma (cheating by friend on exam)</w:t>
            </w:r>
          </w:p>
        </w:tc>
        <w:tc>
          <w:tcPr>
            <w:tcW w:w="288" w:type="dxa"/>
            <w:shd w:val="clear" w:color="auto" w:fill="auto"/>
            <w:tcMar>
              <w:top w:w="10" w:type="dxa"/>
              <w:left w:w="10" w:type="dxa"/>
              <w:bottom w:w="0" w:type="dxa"/>
              <w:right w:w="10" w:type="dxa"/>
            </w:tcMar>
            <w:vAlign w:val="bottom"/>
            <w:hideMark/>
          </w:tcPr>
          <w:p w:rsidR="00906059" w:rsidRDefault="005614E4" w:rsidP="008D0BB2">
            <w:pPr>
              <w:jc w:val="center"/>
              <w:rPr>
                <w:color w:val="000000"/>
                <w:szCs w:val="20"/>
              </w:rPr>
            </w:pPr>
            <w:r>
              <w:rPr>
                <w:color w:val="000000"/>
                <w:szCs w:val="20"/>
              </w:rPr>
              <w:t>7</w:t>
            </w:r>
            <w:r w:rsidR="00391FA5">
              <w:rPr>
                <w:color w:val="000000"/>
                <w:szCs w:val="20"/>
              </w:rPr>
              <w:br/>
            </w:r>
            <w:r w:rsidR="00391FA5">
              <w:rPr>
                <w:color w:val="000000"/>
                <w:szCs w:val="20"/>
              </w:rPr>
              <w:br/>
            </w:r>
          </w:p>
        </w:tc>
        <w:tc>
          <w:tcPr>
            <w:tcW w:w="717" w:type="dxa"/>
            <w:shd w:val="clear" w:color="auto" w:fill="auto"/>
            <w:noWrap/>
            <w:tcMar>
              <w:top w:w="10" w:type="dxa"/>
              <w:left w:w="10" w:type="dxa"/>
              <w:bottom w:w="0" w:type="dxa"/>
              <w:right w:w="10" w:type="dxa"/>
            </w:tcMar>
            <w:vAlign w:val="bottom"/>
            <w:hideMark/>
          </w:tcPr>
          <w:p w:rsidR="00906059" w:rsidRPr="000B4B45" w:rsidRDefault="00906059" w:rsidP="00B91A3B">
            <w:pPr>
              <w:pStyle w:val="Gridtext"/>
            </w:pPr>
          </w:p>
        </w:tc>
        <w:tc>
          <w:tcPr>
            <w:tcW w:w="1252"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Moderate</w:t>
            </w:r>
            <w:r w:rsidR="00573BAD">
              <w:rPr>
                <w:color w:val="000000"/>
              </w:rPr>
              <w:br/>
            </w:r>
            <w:r w:rsidR="00573BAD">
              <w:rPr>
                <w:color w:val="000000"/>
              </w:rPr>
              <w:br/>
            </w:r>
          </w:p>
        </w:tc>
        <w:tc>
          <w:tcPr>
            <w:tcW w:w="431" w:type="dxa"/>
            <w:shd w:val="clear" w:color="auto" w:fill="auto"/>
            <w:noWrap/>
            <w:tcMar>
              <w:top w:w="10" w:type="dxa"/>
              <w:left w:w="10" w:type="dxa"/>
              <w:bottom w:w="0" w:type="dxa"/>
              <w:right w:w="10" w:type="dxa"/>
            </w:tcMar>
            <w:vAlign w:val="bottom"/>
            <w:hideMark/>
          </w:tcPr>
          <w:p w:rsidR="00906059" w:rsidRDefault="00906059" w:rsidP="008D0BB2">
            <w:pPr>
              <w:pStyle w:val="Gridtext"/>
              <w:jc w:val="center"/>
              <w:rPr>
                <w:color w:val="000000"/>
              </w:rPr>
            </w:pPr>
            <w:r>
              <w:rPr>
                <w:color w:val="000000"/>
              </w:rPr>
              <w:t>5</w:t>
            </w:r>
            <w:r w:rsidR="00573BAD">
              <w:rPr>
                <w:color w:val="000000"/>
              </w:rPr>
              <w:br/>
            </w:r>
            <w:r w:rsidR="00573BAD">
              <w:rPr>
                <w:color w:val="000000"/>
              </w:rPr>
              <w:br/>
            </w:r>
          </w:p>
        </w:tc>
        <w:tc>
          <w:tcPr>
            <w:tcW w:w="1288"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Reflective Thinking</w:t>
            </w:r>
            <w:r w:rsidR="00573BAD">
              <w:rPr>
                <w:color w:val="000000"/>
              </w:rPr>
              <w:br/>
            </w:r>
          </w:p>
        </w:tc>
        <w:tc>
          <w:tcPr>
            <w:tcW w:w="1432"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Measurement</w:t>
            </w:r>
            <w:r w:rsidR="00573BAD">
              <w:rPr>
                <w:color w:val="000000"/>
              </w:rPr>
              <w:br/>
            </w:r>
            <w:r w:rsidR="00573BAD">
              <w:rPr>
                <w:color w:val="000000"/>
              </w:rPr>
              <w:br/>
            </w:r>
          </w:p>
        </w:tc>
        <w:tc>
          <w:tcPr>
            <w:tcW w:w="1575"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Analysis</w:t>
            </w:r>
            <w:r w:rsidR="00573BAD">
              <w:rPr>
                <w:color w:val="000000"/>
              </w:rPr>
              <w:br/>
            </w:r>
            <w:r w:rsidR="00573BAD">
              <w:rPr>
                <w:color w:val="000000"/>
              </w:rPr>
              <w:br/>
            </w:r>
          </w:p>
        </w:tc>
      </w:tr>
      <w:tr w:rsidR="00906059" w:rsidRPr="000B4B45" w:rsidTr="00892E6D">
        <w:trPr>
          <w:trHeight w:val="300"/>
        </w:trPr>
        <w:tc>
          <w:tcPr>
            <w:tcW w:w="825" w:type="dxa"/>
            <w:shd w:val="clear" w:color="auto" w:fill="auto"/>
            <w:noWrap/>
            <w:tcMar>
              <w:top w:w="10" w:type="dxa"/>
              <w:left w:w="10" w:type="dxa"/>
              <w:bottom w:w="0" w:type="dxa"/>
              <w:right w:w="10" w:type="dxa"/>
            </w:tcMar>
            <w:vAlign w:val="bottom"/>
            <w:hideMark/>
          </w:tcPr>
          <w:p w:rsidR="00906059" w:rsidRDefault="00906059" w:rsidP="00004942">
            <w:pPr>
              <w:pStyle w:val="Gridtext"/>
            </w:pPr>
            <w:r>
              <w:t>C1-12</w:t>
            </w:r>
            <w:r w:rsidR="00391FA5">
              <w:br/>
            </w:r>
            <w:r w:rsidR="00391FA5">
              <w:br/>
            </w:r>
            <w:r w:rsidR="00391FA5">
              <w:br/>
            </w:r>
            <w:r w:rsidR="00391FA5">
              <w:br/>
            </w:r>
            <w:r w:rsidR="00391FA5">
              <w:br/>
            </w:r>
            <w:r w:rsidR="00391FA5">
              <w:br/>
            </w:r>
          </w:p>
        </w:tc>
        <w:tc>
          <w:tcPr>
            <w:tcW w:w="2146" w:type="dxa"/>
            <w:shd w:val="clear" w:color="auto" w:fill="auto"/>
            <w:tcMar>
              <w:top w:w="10" w:type="dxa"/>
              <w:left w:w="10" w:type="dxa"/>
              <w:bottom w:w="0" w:type="dxa"/>
              <w:right w:w="10" w:type="dxa"/>
            </w:tcMar>
            <w:vAlign w:val="bottom"/>
            <w:hideMark/>
          </w:tcPr>
          <w:p w:rsidR="00906059" w:rsidRDefault="00906059" w:rsidP="00B91A3B">
            <w:pPr>
              <w:pStyle w:val="Gridtext"/>
              <w:rPr>
                <w:color w:val="000000"/>
              </w:rPr>
            </w:pPr>
            <w:r>
              <w:rPr>
                <w:color w:val="000000"/>
              </w:rPr>
              <w:t>Codification</w:t>
            </w:r>
            <w:r w:rsidR="00391FA5">
              <w:rPr>
                <w:color w:val="000000"/>
              </w:rPr>
              <w:br/>
            </w:r>
            <w:r w:rsidR="00391FA5">
              <w:rPr>
                <w:color w:val="000000"/>
              </w:rPr>
              <w:br/>
            </w:r>
            <w:r w:rsidR="00391FA5">
              <w:rPr>
                <w:color w:val="000000"/>
              </w:rPr>
              <w:br/>
            </w:r>
            <w:r w:rsidR="00391FA5">
              <w:rPr>
                <w:color w:val="000000"/>
              </w:rPr>
              <w:br/>
            </w:r>
            <w:r w:rsidR="00391FA5">
              <w:rPr>
                <w:color w:val="000000"/>
              </w:rPr>
              <w:br/>
            </w:r>
            <w:r w:rsidR="00391FA5">
              <w:rPr>
                <w:color w:val="000000"/>
              </w:rPr>
              <w:br/>
            </w:r>
          </w:p>
        </w:tc>
        <w:tc>
          <w:tcPr>
            <w:tcW w:w="2862" w:type="dxa"/>
            <w:shd w:val="clear" w:color="auto" w:fill="auto"/>
            <w:tcMar>
              <w:top w:w="10" w:type="dxa"/>
              <w:left w:w="10" w:type="dxa"/>
              <w:bottom w:w="0" w:type="dxa"/>
              <w:right w:w="10" w:type="dxa"/>
            </w:tcMar>
            <w:vAlign w:val="bottom"/>
            <w:hideMark/>
          </w:tcPr>
          <w:p w:rsidR="00906059" w:rsidRDefault="00906059" w:rsidP="00773A5B">
            <w:pPr>
              <w:pStyle w:val="Gridtext"/>
              <w:rPr>
                <w:color w:val="000000"/>
              </w:rPr>
            </w:pPr>
            <w:r>
              <w:rPr>
                <w:color w:val="000000"/>
              </w:rPr>
              <w:t>Prepare a memo to explain and demonstrate the Codification to an introductory accounting student, who is familiar with the financial statements and accounts</w:t>
            </w:r>
          </w:p>
        </w:tc>
        <w:tc>
          <w:tcPr>
            <w:tcW w:w="288" w:type="dxa"/>
            <w:shd w:val="clear" w:color="auto" w:fill="auto"/>
            <w:tcMar>
              <w:top w:w="10" w:type="dxa"/>
              <w:left w:w="10" w:type="dxa"/>
              <w:bottom w:w="0" w:type="dxa"/>
              <w:right w:w="10" w:type="dxa"/>
            </w:tcMar>
            <w:vAlign w:val="bottom"/>
            <w:hideMark/>
          </w:tcPr>
          <w:p w:rsidR="00906059" w:rsidRDefault="00906059" w:rsidP="008D0BB2">
            <w:pPr>
              <w:jc w:val="center"/>
              <w:rPr>
                <w:color w:val="000000"/>
                <w:szCs w:val="20"/>
              </w:rPr>
            </w:pPr>
          </w:p>
        </w:tc>
        <w:tc>
          <w:tcPr>
            <w:tcW w:w="717" w:type="dxa"/>
            <w:shd w:val="clear" w:color="auto" w:fill="auto"/>
            <w:noWrap/>
            <w:tcMar>
              <w:top w:w="10" w:type="dxa"/>
              <w:left w:w="10" w:type="dxa"/>
              <w:bottom w:w="0" w:type="dxa"/>
              <w:right w:w="10" w:type="dxa"/>
            </w:tcMar>
            <w:vAlign w:val="bottom"/>
            <w:hideMark/>
          </w:tcPr>
          <w:p w:rsidR="00906059" w:rsidRPr="000B4B45" w:rsidRDefault="00906059" w:rsidP="00B91A3B">
            <w:pPr>
              <w:pStyle w:val="Gridtext"/>
            </w:pPr>
          </w:p>
        </w:tc>
        <w:tc>
          <w:tcPr>
            <w:tcW w:w="1252"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Moderate</w:t>
            </w:r>
            <w:r w:rsidR="00573BAD">
              <w:rPr>
                <w:color w:val="000000"/>
              </w:rPr>
              <w:br/>
            </w:r>
            <w:r w:rsidR="00573BAD">
              <w:rPr>
                <w:color w:val="000000"/>
              </w:rPr>
              <w:br/>
            </w:r>
            <w:r w:rsidR="00573BAD">
              <w:rPr>
                <w:color w:val="000000"/>
              </w:rPr>
              <w:br/>
            </w:r>
            <w:r w:rsidR="00573BAD">
              <w:rPr>
                <w:color w:val="000000"/>
              </w:rPr>
              <w:br/>
            </w:r>
            <w:r w:rsidR="00573BAD">
              <w:rPr>
                <w:color w:val="000000"/>
              </w:rPr>
              <w:br/>
            </w:r>
            <w:r w:rsidR="00573BAD">
              <w:rPr>
                <w:color w:val="000000"/>
              </w:rPr>
              <w:br/>
            </w:r>
          </w:p>
        </w:tc>
        <w:tc>
          <w:tcPr>
            <w:tcW w:w="431" w:type="dxa"/>
            <w:shd w:val="clear" w:color="auto" w:fill="auto"/>
            <w:noWrap/>
            <w:tcMar>
              <w:top w:w="10" w:type="dxa"/>
              <w:left w:w="10" w:type="dxa"/>
              <w:bottom w:w="0" w:type="dxa"/>
              <w:right w:w="10" w:type="dxa"/>
            </w:tcMar>
            <w:vAlign w:val="bottom"/>
            <w:hideMark/>
          </w:tcPr>
          <w:p w:rsidR="00906059" w:rsidRDefault="00906059" w:rsidP="008D0BB2">
            <w:pPr>
              <w:pStyle w:val="Gridtext"/>
              <w:jc w:val="center"/>
              <w:rPr>
                <w:color w:val="000000"/>
              </w:rPr>
            </w:pPr>
            <w:r>
              <w:rPr>
                <w:color w:val="000000"/>
              </w:rPr>
              <w:t>25</w:t>
            </w:r>
            <w:r w:rsidR="00573BAD">
              <w:rPr>
                <w:color w:val="000000"/>
              </w:rPr>
              <w:br/>
            </w:r>
            <w:r w:rsidR="00573BAD">
              <w:rPr>
                <w:color w:val="000000"/>
              </w:rPr>
              <w:br/>
            </w:r>
            <w:r w:rsidR="00573BAD">
              <w:rPr>
                <w:color w:val="000000"/>
              </w:rPr>
              <w:br/>
            </w:r>
            <w:r w:rsidR="00573BAD">
              <w:rPr>
                <w:color w:val="000000"/>
              </w:rPr>
              <w:br/>
            </w:r>
            <w:r w:rsidR="00573BAD">
              <w:rPr>
                <w:color w:val="000000"/>
              </w:rPr>
              <w:br/>
            </w:r>
            <w:r w:rsidR="00573BAD">
              <w:rPr>
                <w:color w:val="000000"/>
              </w:rPr>
              <w:br/>
            </w:r>
          </w:p>
        </w:tc>
        <w:tc>
          <w:tcPr>
            <w:tcW w:w="1288"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Analytic</w:t>
            </w:r>
            <w:r w:rsidR="00573BAD">
              <w:rPr>
                <w:color w:val="000000"/>
              </w:rPr>
              <w:br/>
            </w:r>
            <w:r w:rsidR="00573BAD">
              <w:rPr>
                <w:color w:val="000000"/>
              </w:rPr>
              <w:br/>
            </w:r>
            <w:r w:rsidR="00573BAD">
              <w:rPr>
                <w:color w:val="000000"/>
              </w:rPr>
              <w:br/>
            </w:r>
            <w:r w:rsidR="00573BAD">
              <w:rPr>
                <w:color w:val="000000"/>
              </w:rPr>
              <w:br/>
            </w:r>
            <w:r w:rsidR="00573BAD">
              <w:rPr>
                <w:color w:val="000000"/>
              </w:rPr>
              <w:br/>
            </w:r>
            <w:r w:rsidR="00573BAD">
              <w:rPr>
                <w:color w:val="000000"/>
              </w:rPr>
              <w:br/>
            </w:r>
          </w:p>
        </w:tc>
        <w:tc>
          <w:tcPr>
            <w:tcW w:w="1432"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Measurement</w:t>
            </w:r>
            <w:r w:rsidR="00573BAD">
              <w:rPr>
                <w:color w:val="000000"/>
              </w:rPr>
              <w:br/>
            </w:r>
            <w:r w:rsidR="00573BAD">
              <w:rPr>
                <w:color w:val="000000"/>
              </w:rPr>
              <w:br/>
            </w:r>
            <w:r w:rsidR="00573BAD">
              <w:rPr>
                <w:color w:val="000000"/>
              </w:rPr>
              <w:br/>
            </w:r>
            <w:r w:rsidR="00573BAD">
              <w:rPr>
                <w:color w:val="000000"/>
              </w:rPr>
              <w:br/>
            </w:r>
            <w:r w:rsidR="00573BAD">
              <w:rPr>
                <w:color w:val="000000"/>
              </w:rPr>
              <w:br/>
            </w:r>
            <w:r w:rsidR="00573BAD">
              <w:rPr>
                <w:color w:val="000000"/>
              </w:rPr>
              <w:br/>
            </w:r>
          </w:p>
        </w:tc>
        <w:tc>
          <w:tcPr>
            <w:tcW w:w="1575"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Application</w:t>
            </w:r>
            <w:r w:rsidR="00573BAD">
              <w:rPr>
                <w:color w:val="000000"/>
              </w:rPr>
              <w:br/>
            </w:r>
            <w:r w:rsidR="00573BAD">
              <w:rPr>
                <w:color w:val="000000"/>
              </w:rPr>
              <w:br/>
            </w:r>
            <w:r w:rsidR="00573BAD">
              <w:rPr>
                <w:color w:val="000000"/>
              </w:rPr>
              <w:br/>
            </w:r>
            <w:r w:rsidR="00573BAD">
              <w:rPr>
                <w:color w:val="000000"/>
              </w:rPr>
              <w:br/>
            </w:r>
            <w:r w:rsidR="00573BAD">
              <w:rPr>
                <w:color w:val="000000"/>
              </w:rPr>
              <w:br/>
            </w:r>
            <w:r w:rsidR="00573BAD">
              <w:rPr>
                <w:color w:val="000000"/>
              </w:rPr>
              <w:br/>
            </w:r>
          </w:p>
        </w:tc>
      </w:tr>
      <w:tr w:rsidR="00906059" w:rsidRPr="000B4B45" w:rsidTr="00892E6D">
        <w:trPr>
          <w:trHeight w:val="300"/>
        </w:trPr>
        <w:tc>
          <w:tcPr>
            <w:tcW w:w="825" w:type="dxa"/>
            <w:shd w:val="clear" w:color="auto" w:fill="auto"/>
            <w:noWrap/>
            <w:tcMar>
              <w:top w:w="10" w:type="dxa"/>
              <w:left w:w="10" w:type="dxa"/>
              <w:bottom w:w="0" w:type="dxa"/>
              <w:right w:w="10" w:type="dxa"/>
            </w:tcMar>
            <w:vAlign w:val="bottom"/>
            <w:hideMark/>
          </w:tcPr>
          <w:p w:rsidR="00906059" w:rsidRDefault="00906059" w:rsidP="00004942">
            <w:pPr>
              <w:pStyle w:val="Gridtext"/>
            </w:pPr>
            <w:r>
              <w:t>C1-13</w:t>
            </w:r>
            <w:r w:rsidR="00391FA5">
              <w:br/>
            </w:r>
            <w:r w:rsidR="00391FA5">
              <w:br/>
            </w:r>
            <w:r w:rsidR="00391FA5">
              <w:br/>
            </w:r>
            <w:r w:rsidR="00391FA5">
              <w:br/>
            </w:r>
          </w:p>
        </w:tc>
        <w:tc>
          <w:tcPr>
            <w:tcW w:w="2146" w:type="dxa"/>
            <w:shd w:val="clear" w:color="auto" w:fill="auto"/>
            <w:tcMar>
              <w:top w:w="10" w:type="dxa"/>
              <w:left w:w="10" w:type="dxa"/>
              <w:bottom w:w="0" w:type="dxa"/>
              <w:right w:w="10" w:type="dxa"/>
            </w:tcMar>
            <w:vAlign w:val="bottom"/>
            <w:hideMark/>
          </w:tcPr>
          <w:p w:rsidR="00906059" w:rsidRDefault="00906059" w:rsidP="00B91A3B">
            <w:pPr>
              <w:pStyle w:val="Gridtext"/>
              <w:rPr>
                <w:color w:val="000000"/>
              </w:rPr>
            </w:pPr>
            <w:r>
              <w:rPr>
                <w:color w:val="000000"/>
              </w:rPr>
              <w:t>Codification</w:t>
            </w:r>
            <w:r w:rsidR="00391FA5">
              <w:rPr>
                <w:color w:val="000000"/>
              </w:rPr>
              <w:br/>
            </w:r>
            <w:r w:rsidR="00391FA5">
              <w:rPr>
                <w:color w:val="000000"/>
              </w:rPr>
              <w:br/>
            </w:r>
            <w:r w:rsidR="00391FA5">
              <w:rPr>
                <w:color w:val="000000"/>
              </w:rPr>
              <w:br/>
            </w:r>
            <w:r w:rsidR="00391FA5">
              <w:rPr>
                <w:color w:val="000000"/>
              </w:rPr>
              <w:br/>
            </w:r>
          </w:p>
        </w:tc>
        <w:tc>
          <w:tcPr>
            <w:tcW w:w="2862" w:type="dxa"/>
            <w:shd w:val="clear" w:color="auto" w:fill="auto"/>
            <w:tcMar>
              <w:top w:w="10" w:type="dxa"/>
              <w:left w:w="10" w:type="dxa"/>
              <w:bottom w:w="0" w:type="dxa"/>
              <w:right w:w="10" w:type="dxa"/>
            </w:tcMar>
            <w:vAlign w:val="bottom"/>
            <w:hideMark/>
          </w:tcPr>
          <w:p w:rsidR="00906059" w:rsidRDefault="00906059" w:rsidP="00773A5B">
            <w:pPr>
              <w:pStyle w:val="Gridtext"/>
              <w:rPr>
                <w:color w:val="000000"/>
              </w:rPr>
            </w:pPr>
            <w:r>
              <w:rPr>
                <w:color w:val="000000"/>
              </w:rPr>
              <w:t>Search the Codification to determine how a company should account for the cost of a new desktop computer for use in the office</w:t>
            </w:r>
          </w:p>
        </w:tc>
        <w:tc>
          <w:tcPr>
            <w:tcW w:w="288" w:type="dxa"/>
            <w:shd w:val="clear" w:color="auto" w:fill="auto"/>
            <w:tcMar>
              <w:top w:w="10" w:type="dxa"/>
              <w:left w:w="10" w:type="dxa"/>
              <w:bottom w:w="0" w:type="dxa"/>
              <w:right w:w="10" w:type="dxa"/>
            </w:tcMar>
            <w:vAlign w:val="bottom"/>
            <w:hideMark/>
          </w:tcPr>
          <w:p w:rsidR="00906059" w:rsidRDefault="00906059" w:rsidP="008D0BB2">
            <w:pPr>
              <w:jc w:val="center"/>
              <w:rPr>
                <w:color w:val="000000"/>
                <w:szCs w:val="20"/>
              </w:rPr>
            </w:pPr>
          </w:p>
        </w:tc>
        <w:tc>
          <w:tcPr>
            <w:tcW w:w="717" w:type="dxa"/>
            <w:shd w:val="clear" w:color="auto" w:fill="auto"/>
            <w:noWrap/>
            <w:tcMar>
              <w:top w:w="10" w:type="dxa"/>
              <w:left w:w="10" w:type="dxa"/>
              <w:bottom w:w="0" w:type="dxa"/>
              <w:right w:w="10" w:type="dxa"/>
            </w:tcMar>
            <w:vAlign w:val="bottom"/>
            <w:hideMark/>
          </w:tcPr>
          <w:p w:rsidR="00906059" w:rsidRPr="000B4B45" w:rsidRDefault="00906059" w:rsidP="00B91A3B">
            <w:pPr>
              <w:pStyle w:val="Gridtext"/>
            </w:pPr>
          </w:p>
        </w:tc>
        <w:tc>
          <w:tcPr>
            <w:tcW w:w="1252"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Moderate</w:t>
            </w:r>
            <w:r w:rsidR="00573BAD">
              <w:rPr>
                <w:color w:val="000000"/>
              </w:rPr>
              <w:br/>
            </w:r>
            <w:r w:rsidR="00573BAD">
              <w:rPr>
                <w:color w:val="000000"/>
              </w:rPr>
              <w:br/>
            </w:r>
            <w:r w:rsidR="00573BAD">
              <w:rPr>
                <w:color w:val="000000"/>
              </w:rPr>
              <w:br/>
            </w:r>
            <w:r w:rsidR="00573BAD">
              <w:rPr>
                <w:color w:val="000000"/>
              </w:rPr>
              <w:br/>
            </w:r>
          </w:p>
        </w:tc>
        <w:tc>
          <w:tcPr>
            <w:tcW w:w="431" w:type="dxa"/>
            <w:shd w:val="clear" w:color="auto" w:fill="auto"/>
            <w:noWrap/>
            <w:tcMar>
              <w:top w:w="10" w:type="dxa"/>
              <w:left w:w="10" w:type="dxa"/>
              <w:bottom w:w="0" w:type="dxa"/>
              <w:right w:w="10" w:type="dxa"/>
            </w:tcMar>
            <w:vAlign w:val="bottom"/>
            <w:hideMark/>
          </w:tcPr>
          <w:p w:rsidR="00906059" w:rsidRDefault="00906059" w:rsidP="008D0BB2">
            <w:pPr>
              <w:pStyle w:val="Gridtext"/>
              <w:jc w:val="center"/>
              <w:rPr>
                <w:color w:val="000000"/>
              </w:rPr>
            </w:pPr>
            <w:r>
              <w:rPr>
                <w:color w:val="000000"/>
              </w:rPr>
              <w:t>15</w:t>
            </w:r>
            <w:r w:rsidR="00573BAD">
              <w:rPr>
                <w:color w:val="000000"/>
              </w:rPr>
              <w:br/>
            </w:r>
            <w:r w:rsidR="00573BAD">
              <w:rPr>
                <w:color w:val="000000"/>
              </w:rPr>
              <w:br/>
            </w:r>
            <w:r w:rsidR="00573BAD">
              <w:rPr>
                <w:color w:val="000000"/>
              </w:rPr>
              <w:br/>
            </w:r>
            <w:r w:rsidR="00573BAD">
              <w:rPr>
                <w:color w:val="000000"/>
              </w:rPr>
              <w:br/>
            </w:r>
          </w:p>
        </w:tc>
        <w:tc>
          <w:tcPr>
            <w:tcW w:w="1288"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Analytic</w:t>
            </w:r>
            <w:r w:rsidR="00573BAD">
              <w:rPr>
                <w:color w:val="000000"/>
              </w:rPr>
              <w:br/>
            </w:r>
            <w:r w:rsidR="00573BAD">
              <w:rPr>
                <w:color w:val="000000"/>
              </w:rPr>
              <w:br/>
            </w:r>
            <w:r w:rsidR="00573BAD">
              <w:rPr>
                <w:color w:val="000000"/>
              </w:rPr>
              <w:br/>
            </w:r>
            <w:r w:rsidR="00573BAD">
              <w:rPr>
                <w:color w:val="000000"/>
              </w:rPr>
              <w:br/>
            </w:r>
          </w:p>
        </w:tc>
        <w:tc>
          <w:tcPr>
            <w:tcW w:w="1432"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Measurement</w:t>
            </w:r>
            <w:r w:rsidR="00573BAD">
              <w:rPr>
                <w:color w:val="000000"/>
              </w:rPr>
              <w:br/>
            </w:r>
            <w:r w:rsidR="00573BAD">
              <w:rPr>
                <w:color w:val="000000"/>
              </w:rPr>
              <w:br/>
            </w:r>
            <w:r w:rsidR="00573BAD">
              <w:rPr>
                <w:color w:val="000000"/>
              </w:rPr>
              <w:br/>
            </w:r>
            <w:r w:rsidR="00573BAD">
              <w:rPr>
                <w:color w:val="000000"/>
              </w:rPr>
              <w:br/>
            </w:r>
          </w:p>
        </w:tc>
        <w:tc>
          <w:tcPr>
            <w:tcW w:w="1575"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Application</w:t>
            </w:r>
            <w:r w:rsidR="00573BAD">
              <w:rPr>
                <w:color w:val="000000"/>
              </w:rPr>
              <w:br/>
            </w:r>
            <w:r w:rsidR="00573BAD">
              <w:rPr>
                <w:color w:val="000000"/>
              </w:rPr>
              <w:br/>
            </w:r>
            <w:r w:rsidR="00573BAD">
              <w:rPr>
                <w:color w:val="000000"/>
              </w:rPr>
              <w:br/>
            </w:r>
            <w:r w:rsidR="00573BAD">
              <w:rPr>
                <w:color w:val="000000"/>
              </w:rPr>
              <w:br/>
            </w:r>
          </w:p>
        </w:tc>
      </w:tr>
      <w:tr w:rsidR="00906059" w:rsidRPr="000B4B45" w:rsidTr="00892E6D">
        <w:trPr>
          <w:trHeight w:val="300"/>
        </w:trPr>
        <w:tc>
          <w:tcPr>
            <w:tcW w:w="825" w:type="dxa"/>
            <w:shd w:val="clear" w:color="auto" w:fill="auto"/>
            <w:noWrap/>
            <w:tcMar>
              <w:top w:w="10" w:type="dxa"/>
              <w:left w:w="10" w:type="dxa"/>
              <w:bottom w:w="0" w:type="dxa"/>
              <w:right w:w="10" w:type="dxa"/>
            </w:tcMar>
            <w:vAlign w:val="bottom"/>
            <w:hideMark/>
          </w:tcPr>
          <w:p w:rsidR="00906059" w:rsidRDefault="00906059" w:rsidP="00004942">
            <w:pPr>
              <w:pStyle w:val="Gridtext"/>
            </w:pPr>
            <w:r>
              <w:t>C1-14</w:t>
            </w:r>
            <w:r w:rsidR="00391FA5">
              <w:br/>
            </w:r>
            <w:r w:rsidR="00391FA5">
              <w:br/>
            </w:r>
            <w:r w:rsidR="00391FA5">
              <w:br/>
            </w:r>
            <w:r w:rsidR="00391FA5">
              <w:br/>
            </w:r>
          </w:p>
        </w:tc>
        <w:tc>
          <w:tcPr>
            <w:tcW w:w="2146" w:type="dxa"/>
            <w:shd w:val="clear" w:color="auto" w:fill="auto"/>
            <w:tcMar>
              <w:top w:w="10" w:type="dxa"/>
              <w:left w:w="10" w:type="dxa"/>
              <w:bottom w:w="0" w:type="dxa"/>
              <w:right w:w="10" w:type="dxa"/>
            </w:tcMar>
            <w:vAlign w:val="bottom"/>
            <w:hideMark/>
          </w:tcPr>
          <w:p w:rsidR="00906059" w:rsidRDefault="00906059" w:rsidP="00B91A3B">
            <w:pPr>
              <w:pStyle w:val="Gridtext"/>
              <w:rPr>
                <w:color w:val="000000"/>
              </w:rPr>
            </w:pPr>
            <w:r>
              <w:rPr>
                <w:color w:val="000000"/>
              </w:rPr>
              <w:t>Codification</w:t>
            </w:r>
            <w:r w:rsidR="00391FA5">
              <w:rPr>
                <w:color w:val="000000"/>
              </w:rPr>
              <w:br/>
            </w:r>
            <w:r w:rsidR="00391FA5">
              <w:rPr>
                <w:color w:val="000000"/>
              </w:rPr>
              <w:br/>
            </w:r>
            <w:r w:rsidR="00391FA5">
              <w:rPr>
                <w:color w:val="000000"/>
              </w:rPr>
              <w:br/>
            </w:r>
            <w:r w:rsidR="00391FA5">
              <w:rPr>
                <w:color w:val="000000"/>
              </w:rPr>
              <w:br/>
            </w:r>
          </w:p>
        </w:tc>
        <w:tc>
          <w:tcPr>
            <w:tcW w:w="2862" w:type="dxa"/>
            <w:shd w:val="clear" w:color="auto" w:fill="auto"/>
            <w:tcMar>
              <w:top w:w="10" w:type="dxa"/>
              <w:left w:w="10" w:type="dxa"/>
              <w:bottom w:w="0" w:type="dxa"/>
              <w:right w:w="10" w:type="dxa"/>
            </w:tcMar>
            <w:vAlign w:val="bottom"/>
            <w:hideMark/>
          </w:tcPr>
          <w:p w:rsidR="00906059" w:rsidRDefault="00906059" w:rsidP="00773A5B">
            <w:pPr>
              <w:pStyle w:val="Gridtext"/>
              <w:rPr>
                <w:color w:val="000000"/>
              </w:rPr>
            </w:pPr>
            <w:r>
              <w:rPr>
                <w:color w:val="000000"/>
              </w:rPr>
              <w:t>Search the Codification to determine how a company should account for recognition of retail revenues with the right to return</w:t>
            </w:r>
          </w:p>
        </w:tc>
        <w:tc>
          <w:tcPr>
            <w:tcW w:w="288" w:type="dxa"/>
            <w:shd w:val="clear" w:color="auto" w:fill="auto"/>
            <w:tcMar>
              <w:top w:w="10" w:type="dxa"/>
              <w:left w:w="10" w:type="dxa"/>
              <w:bottom w:w="0" w:type="dxa"/>
              <w:right w:w="10" w:type="dxa"/>
            </w:tcMar>
            <w:vAlign w:val="bottom"/>
            <w:hideMark/>
          </w:tcPr>
          <w:p w:rsidR="00906059" w:rsidRDefault="00906059" w:rsidP="008D0BB2">
            <w:pPr>
              <w:jc w:val="center"/>
              <w:rPr>
                <w:color w:val="000000"/>
                <w:szCs w:val="20"/>
              </w:rPr>
            </w:pPr>
          </w:p>
        </w:tc>
        <w:tc>
          <w:tcPr>
            <w:tcW w:w="717" w:type="dxa"/>
            <w:shd w:val="clear" w:color="auto" w:fill="auto"/>
            <w:noWrap/>
            <w:tcMar>
              <w:top w:w="10" w:type="dxa"/>
              <w:left w:w="10" w:type="dxa"/>
              <w:bottom w:w="0" w:type="dxa"/>
              <w:right w:w="10" w:type="dxa"/>
            </w:tcMar>
            <w:vAlign w:val="bottom"/>
            <w:hideMark/>
          </w:tcPr>
          <w:p w:rsidR="00906059" w:rsidRPr="000B4B45" w:rsidRDefault="00906059" w:rsidP="00B91A3B">
            <w:pPr>
              <w:pStyle w:val="Gridtext"/>
            </w:pPr>
          </w:p>
        </w:tc>
        <w:tc>
          <w:tcPr>
            <w:tcW w:w="1252"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Moderate</w:t>
            </w:r>
            <w:r w:rsidR="00573BAD">
              <w:rPr>
                <w:color w:val="000000"/>
              </w:rPr>
              <w:br/>
            </w:r>
            <w:r w:rsidR="00573BAD">
              <w:rPr>
                <w:color w:val="000000"/>
              </w:rPr>
              <w:br/>
            </w:r>
            <w:r w:rsidR="00573BAD">
              <w:rPr>
                <w:color w:val="000000"/>
              </w:rPr>
              <w:br/>
            </w:r>
            <w:r w:rsidR="00573BAD">
              <w:rPr>
                <w:color w:val="000000"/>
              </w:rPr>
              <w:br/>
            </w:r>
          </w:p>
        </w:tc>
        <w:tc>
          <w:tcPr>
            <w:tcW w:w="431" w:type="dxa"/>
            <w:shd w:val="clear" w:color="auto" w:fill="auto"/>
            <w:noWrap/>
            <w:tcMar>
              <w:top w:w="10" w:type="dxa"/>
              <w:left w:w="10" w:type="dxa"/>
              <w:bottom w:w="0" w:type="dxa"/>
              <w:right w:w="10" w:type="dxa"/>
            </w:tcMar>
            <w:vAlign w:val="bottom"/>
            <w:hideMark/>
          </w:tcPr>
          <w:p w:rsidR="00906059" w:rsidRDefault="00906059" w:rsidP="008D0BB2">
            <w:pPr>
              <w:pStyle w:val="Gridtext"/>
              <w:jc w:val="center"/>
              <w:rPr>
                <w:color w:val="000000"/>
              </w:rPr>
            </w:pPr>
            <w:r>
              <w:rPr>
                <w:color w:val="000000"/>
              </w:rPr>
              <w:t>25</w:t>
            </w:r>
            <w:r w:rsidR="00573BAD">
              <w:rPr>
                <w:color w:val="000000"/>
              </w:rPr>
              <w:br/>
            </w:r>
            <w:r w:rsidR="00573BAD">
              <w:rPr>
                <w:color w:val="000000"/>
              </w:rPr>
              <w:br/>
            </w:r>
            <w:r w:rsidR="00573BAD">
              <w:rPr>
                <w:color w:val="000000"/>
              </w:rPr>
              <w:br/>
            </w:r>
            <w:r w:rsidR="00573BAD">
              <w:rPr>
                <w:color w:val="000000"/>
              </w:rPr>
              <w:br/>
            </w:r>
          </w:p>
        </w:tc>
        <w:tc>
          <w:tcPr>
            <w:tcW w:w="1288"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Analytic</w:t>
            </w:r>
            <w:r w:rsidR="00573BAD">
              <w:rPr>
                <w:color w:val="000000"/>
              </w:rPr>
              <w:br/>
            </w:r>
            <w:r w:rsidR="00573BAD">
              <w:rPr>
                <w:color w:val="000000"/>
              </w:rPr>
              <w:br/>
            </w:r>
            <w:r w:rsidR="00573BAD">
              <w:rPr>
                <w:color w:val="000000"/>
              </w:rPr>
              <w:br/>
            </w:r>
            <w:r w:rsidR="00573BAD">
              <w:rPr>
                <w:color w:val="000000"/>
              </w:rPr>
              <w:br/>
            </w:r>
          </w:p>
        </w:tc>
        <w:tc>
          <w:tcPr>
            <w:tcW w:w="1432"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Measurement</w:t>
            </w:r>
            <w:r w:rsidR="00573BAD">
              <w:rPr>
                <w:color w:val="000000"/>
              </w:rPr>
              <w:br/>
            </w:r>
            <w:r w:rsidR="00573BAD">
              <w:rPr>
                <w:color w:val="000000"/>
              </w:rPr>
              <w:br/>
            </w:r>
            <w:r w:rsidR="00573BAD">
              <w:rPr>
                <w:color w:val="000000"/>
              </w:rPr>
              <w:br/>
            </w:r>
            <w:r w:rsidR="00573BAD">
              <w:rPr>
                <w:color w:val="000000"/>
              </w:rPr>
              <w:br/>
            </w:r>
          </w:p>
        </w:tc>
        <w:tc>
          <w:tcPr>
            <w:tcW w:w="1575" w:type="dxa"/>
            <w:shd w:val="clear" w:color="auto" w:fill="auto"/>
            <w:noWrap/>
            <w:tcMar>
              <w:top w:w="10" w:type="dxa"/>
              <w:left w:w="10" w:type="dxa"/>
              <w:bottom w:w="0" w:type="dxa"/>
              <w:right w:w="10" w:type="dxa"/>
            </w:tcMar>
            <w:vAlign w:val="bottom"/>
            <w:hideMark/>
          </w:tcPr>
          <w:p w:rsidR="00906059" w:rsidRDefault="00906059" w:rsidP="00B91A3B">
            <w:pPr>
              <w:pStyle w:val="Gridtext"/>
              <w:rPr>
                <w:color w:val="000000"/>
              </w:rPr>
            </w:pPr>
            <w:r>
              <w:rPr>
                <w:color w:val="000000"/>
              </w:rPr>
              <w:t>Application</w:t>
            </w:r>
            <w:r w:rsidR="00573BAD">
              <w:rPr>
                <w:color w:val="000000"/>
              </w:rPr>
              <w:br/>
            </w:r>
            <w:r w:rsidR="00573BAD">
              <w:rPr>
                <w:color w:val="000000"/>
              </w:rPr>
              <w:br/>
            </w:r>
            <w:r w:rsidR="00573BAD">
              <w:rPr>
                <w:color w:val="000000"/>
              </w:rPr>
              <w:br/>
            </w:r>
            <w:r w:rsidR="00573BAD">
              <w:rPr>
                <w:color w:val="000000"/>
              </w:rPr>
              <w:br/>
            </w:r>
          </w:p>
        </w:tc>
      </w:tr>
    </w:tbl>
    <w:p w:rsidR="008777E2" w:rsidRDefault="008777E2">
      <w:pPr>
        <w:widowControl/>
        <w:autoSpaceDE/>
        <w:autoSpaceDN/>
        <w:adjustRightInd/>
        <w:rPr>
          <w:rFonts w:cs="Arial"/>
          <w:szCs w:val="22"/>
          <w:u w:val="single"/>
        </w:rPr>
      </w:pPr>
    </w:p>
    <w:p w:rsidR="00650C05" w:rsidRDefault="00650C05" w:rsidP="00A85F85">
      <w:pPr>
        <w:pStyle w:val="SubHeading"/>
        <w:sectPr w:rsidR="00650C05" w:rsidSect="00650C05">
          <w:headerReference w:type="default" r:id="rId8"/>
          <w:endnotePr>
            <w:numFmt w:val="decimal"/>
          </w:endnotePr>
          <w:type w:val="continuous"/>
          <w:pgSz w:w="15840" w:h="12240" w:orient="landscape" w:code="1"/>
          <w:pgMar w:top="1440" w:right="1440" w:bottom="1440" w:left="1440" w:header="1440" w:footer="864" w:gutter="0"/>
          <w:cols w:space="720"/>
          <w:noEndnote/>
          <w:docGrid w:linePitch="272"/>
        </w:sectPr>
      </w:pPr>
    </w:p>
    <w:p w:rsidR="00DB6794" w:rsidRDefault="00DB6794" w:rsidP="00A85F85">
      <w:pPr>
        <w:pStyle w:val="SubHeading"/>
      </w:pPr>
      <w:r>
        <w:lastRenderedPageBreak/>
        <w:t xml:space="preserve">ANSWERS TO </w:t>
      </w:r>
      <w:r w:rsidR="006E6D38">
        <w:t>GOT IT?</w:t>
      </w:r>
    </w:p>
    <w:p w:rsidR="00DB6794" w:rsidRDefault="00DB6794" w:rsidP="0080110B">
      <w:pPr>
        <w:pStyle w:val="text"/>
      </w:pPr>
    </w:p>
    <w:p w:rsidR="00DB6794" w:rsidRPr="006934F4" w:rsidRDefault="00DB6794" w:rsidP="006934F4">
      <w:pPr>
        <w:pStyle w:val="QA"/>
      </w:pPr>
      <w:r w:rsidRPr="00581317">
        <w:rPr>
          <w:u w:val="single"/>
        </w:rPr>
        <w:t>1-1</w:t>
      </w:r>
      <w:r w:rsidRPr="006934F4">
        <w:tab/>
      </w:r>
      <w:r w:rsidR="00D306B1" w:rsidRPr="006934F4">
        <w:t xml:space="preserve">The role of financial accounting is to identify, measure, record, and report relevant and reliable financial information about companies to present and potential future stakeholders. </w:t>
      </w:r>
      <w:r w:rsidR="00910EDC" w:rsidRPr="006934F4">
        <w:t>Financial reporting is the process of communicating financial accounting information about a company to existing and potential future investors, creditors, and other external decision makers and stakeholders.</w:t>
      </w:r>
      <w:r w:rsidR="00910EDC" w:rsidRPr="006934F4">
        <w:rPr>
          <w:b/>
        </w:rPr>
        <w:t xml:space="preserve"> </w:t>
      </w:r>
      <w:r w:rsidR="003049A3" w:rsidRPr="006934F4">
        <w:t>An important way a company</w:t>
      </w:r>
      <w:r w:rsidR="0077707C">
        <w:t>’</w:t>
      </w:r>
      <w:r w:rsidR="003049A3" w:rsidRPr="006934F4">
        <w:t xml:space="preserve">s financial accounting information is reported is in its </w:t>
      </w:r>
      <w:r w:rsidR="002401D5" w:rsidRPr="006934F4">
        <w:t xml:space="preserve">quarterly and </w:t>
      </w:r>
      <w:r w:rsidR="003049A3" w:rsidRPr="006934F4">
        <w:t>annual report</w:t>
      </w:r>
      <w:r w:rsidR="002401D5" w:rsidRPr="006934F4">
        <w:t>s</w:t>
      </w:r>
      <w:r w:rsidR="003049A3" w:rsidRPr="006934F4">
        <w:t>.</w:t>
      </w:r>
      <w:r w:rsidR="002401D5" w:rsidRPr="006934F4">
        <w:t xml:space="preserve"> The role of financial reporting is to inform investors, creditors, and other stakeholders. Financial reporting also provides information to mitigate agency problems which stem from the separation of ownership and control of resources.</w:t>
      </w:r>
    </w:p>
    <w:p w:rsidR="00DB6794" w:rsidRDefault="00DB6794" w:rsidP="006934F4">
      <w:pPr>
        <w:pStyle w:val="QA"/>
      </w:pPr>
    </w:p>
    <w:p w:rsidR="00DB6794" w:rsidRDefault="00DB6794" w:rsidP="006934F4">
      <w:pPr>
        <w:pStyle w:val="QA"/>
      </w:pPr>
      <w:r>
        <w:rPr>
          <w:u w:val="single"/>
        </w:rPr>
        <w:t>1-2</w:t>
      </w:r>
      <w:r>
        <w:tab/>
        <w:t xml:space="preserve">The </w:t>
      </w:r>
      <w:r w:rsidR="002401D5">
        <w:t xml:space="preserve">primary stakeholders that are important </w:t>
      </w:r>
      <w:r>
        <w:t xml:space="preserve">users of financial information </w:t>
      </w:r>
      <w:r w:rsidR="002401D5">
        <w:t>include investors, creditors, b</w:t>
      </w:r>
      <w:r w:rsidR="002401D5" w:rsidRPr="002401D5">
        <w:t xml:space="preserve">anks, </w:t>
      </w:r>
      <w:r w:rsidR="002401D5">
        <w:t>s</w:t>
      </w:r>
      <w:r w:rsidR="002401D5" w:rsidRPr="002401D5">
        <w:t xml:space="preserve">uppliers, </w:t>
      </w:r>
      <w:r w:rsidR="002401D5">
        <w:t>customers, e</w:t>
      </w:r>
      <w:r w:rsidR="002401D5" w:rsidRPr="002401D5">
        <w:t xml:space="preserve">mployees, </w:t>
      </w:r>
      <w:r w:rsidR="002401D5">
        <w:t>executives, l</w:t>
      </w:r>
      <w:r w:rsidR="002401D5" w:rsidRPr="002401D5">
        <w:t xml:space="preserve">abor </w:t>
      </w:r>
      <w:r w:rsidR="002401D5">
        <w:t>u</w:t>
      </w:r>
      <w:r w:rsidR="002401D5" w:rsidRPr="002401D5">
        <w:t xml:space="preserve">nions, </w:t>
      </w:r>
      <w:r w:rsidR="002401D5">
        <w:t>p</w:t>
      </w:r>
      <w:r w:rsidR="002401D5" w:rsidRPr="002401D5">
        <w:t xml:space="preserve">ension </w:t>
      </w:r>
      <w:r w:rsidR="002401D5">
        <w:t>f</w:t>
      </w:r>
      <w:r w:rsidR="002401D5" w:rsidRPr="002401D5">
        <w:t xml:space="preserve">unds, </w:t>
      </w:r>
      <w:r w:rsidR="002401D5">
        <w:t>g</w:t>
      </w:r>
      <w:r w:rsidR="002401D5" w:rsidRPr="002401D5">
        <w:t xml:space="preserve">overnment </w:t>
      </w:r>
      <w:r w:rsidR="002401D5">
        <w:t>r</w:t>
      </w:r>
      <w:r w:rsidR="002401D5" w:rsidRPr="002401D5">
        <w:t xml:space="preserve">egulatory </w:t>
      </w:r>
      <w:r w:rsidR="002401D5">
        <w:t>a</w:t>
      </w:r>
      <w:r w:rsidR="002401D5" w:rsidRPr="002401D5">
        <w:t xml:space="preserve">uthorities, </w:t>
      </w:r>
      <w:r w:rsidR="002401D5">
        <w:t>tax a</w:t>
      </w:r>
      <w:r w:rsidR="002401D5" w:rsidRPr="002401D5">
        <w:t xml:space="preserve">uthorities, </w:t>
      </w:r>
      <w:r w:rsidR="002401D5">
        <w:t>l</w:t>
      </w:r>
      <w:r w:rsidR="002401D5" w:rsidRPr="002401D5">
        <w:t xml:space="preserve">ocal </w:t>
      </w:r>
      <w:r w:rsidR="002401D5">
        <w:t>c</w:t>
      </w:r>
      <w:r w:rsidR="002401D5" w:rsidRPr="002401D5">
        <w:t xml:space="preserve">ommunities, </w:t>
      </w:r>
      <w:r w:rsidR="0066321C">
        <w:t xml:space="preserve">and </w:t>
      </w:r>
      <w:r w:rsidR="002401D5">
        <w:t>m</w:t>
      </w:r>
      <w:r w:rsidR="002401D5" w:rsidRPr="002401D5">
        <w:t xml:space="preserve">any </w:t>
      </w:r>
      <w:r w:rsidR="002401D5">
        <w:t>o</w:t>
      </w:r>
      <w:r w:rsidR="002401D5" w:rsidRPr="002401D5">
        <w:t>thers</w:t>
      </w:r>
      <w:r w:rsidR="002401D5">
        <w:t xml:space="preserve"> (see Exhibit 1.1). The instructor can discuss how these stakeholders </w:t>
      </w:r>
      <w:r>
        <w:t>can be divided into two major categories: external users and internal users. These two groups do not have the same decision</w:t>
      </w:r>
      <w:r w:rsidR="00C40742">
        <w:t>-</w:t>
      </w:r>
      <w:r>
        <w:t xml:space="preserve">making information needs because of their differing relationships with the company providing economic information. </w:t>
      </w:r>
      <w:r w:rsidR="002401D5">
        <w:t>Of these groups, FASB has stated the primary purpose of financial reporting is to inform investors and creditors</w:t>
      </w:r>
      <w:r>
        <w:t>.</w:t>
      </w:r>
    </w:p>
    <w:p w:rsidR="006F51F5" w:rsidRDefault="006F51F5">
      <w:pPr>
        <w:widowControl/>
        <w:autoSpaceDE/>
        <w:autoSpaceDN/>
        <w:adjustRightInd/>
        <w:rPr>
          <w:rFonts w:ascii="Arial" w:hAnsi="Arial" w:cs="Arial"/>
          <w:sz w:val="22"/>
          <w:szCs w:val="22"/>
          <w:u w:val="single"/>
        </w:rPr>
      </w:pPr>
    </w:p>
    <w:p w:rsidR="00DB6794" w:rsidRDefault="00DB6794" w:rsidP="006934F4">
      <w:pPr>
        <w:pStyle w:val="QA"/>
      </w:pPr>
      <w:r>
        <w:rPr>
          <w:u w:val="single"/>
        </w:rPr>
        <w:t>1-3</w:t>
      </w:r>
      <w:r>
        <w:tab/>
      </w:r>
      <w:r w:rsidR="005F473B">
        <w:t>Investors and creditors take different risks and enjoy different potential upside</w:t>
      </w:r>
      <w:r w:rsidR="0097381E">
        <w:t xml:space="preserve"> gains from investing or lending</w:t>
      </w:r>
      <w:r w:rsidR="005F473B">
        <w:t>. Equity investors are the residual risk bearers of corporations, but stand to enjoy potentially greater upside if the company is successful and profitable. Creditors face less risk of loss of their investments because they have superior claim in bankruptcy over equity investors. But creditors do not share in the same upside potential as equity investors. A</w:t>
      </w:r>
      <w:r w:rsidR="00F51CE7">
        <w:t>s</w:t>
      </w:r>
      <w:r w:rsidR="005F473B">
        <w:t xml:space="preserve"> a result of these differences, their information needs differ. Equity investors are more concerned with profitability</w:t>
      </w:r>
      <w:r w:rsidR="00C40742">
        <w:t>,</w:t>
      </w:r>
      <w:r w:rsidR="005F473B">
        <w:t xml:space="preserve"> whereas creditors tend to</w:t>
      </w:r>
      <w:r w:rsidR="006934F4">
        <w:t xml:space="preserve"> be more focused on cash flows.</w:t>
      </w:r>
    </w:p>
    <w:p w:rsidR="00DB6794" w:rsidRDefault="00DB6794" w:rsidP="006934F4">
      <w:pPr>
        <w:pStyle w:val="QA"/>
      </w:pPr>
    </w:p>
    <w:p w:rsidR="00DB6794" w:rsidRDefault="00DB6794" w:rsidP="006934F4">
      <w:pPr>
        <w:pStyle w:val="QA"/>
      </w:pPr>
      <w:r w:rsidRPr="00581317">
        <w:rPr>
          <w:u w:val="single"/>
        </w:rPr>
        <w:t>1-4</w:t>
      </w:r>
      <w:r w:rsidRPr="0097381E">
        <w:tab/>
      </w:r>
      <w:r w:rsidR="00910EDC" w:rsidRPr="0097381E">
        <w:t xml:space="preserve">Information asymmetry arises from the separation of ownership and control of resources. Financial reporting helps reduce (but not eliminate) information asymmetry problems by enabling managers (agents) to provide relevant and </w:t>
      </w:r>
      <w:r w:rsidR="00593EB2">
        <w:t>faithfully represented</w:t>
      </w:r>
      <w:r w:rsidR="00910EDC" w:rsidRPr="0097381E">
        <w:t xml:space="preserve"> information to investors and creditors (principals), thereby reducing information asymmetry.</w:t>
      </w:r>
    </w:p>
    <w:p w:rsidR="00DF460C" w:rsidRPr="0097381E" w:rsidRDefault="00DF460C" w:rsidP="006934F4">
      <w:pPr>
        <w:pStyle w:val="QA"/>
      </w:pPr>
    </w:p>
    <w:p w:rsidR="00910EDC" w:rsidRDefault="00DB6794" w:rsidP="006934F4">
      <w:pPr>
        <w:pStyle w:val="QA"/>
      </w:pPr>
      <w:r>
        <w:rPr>
          <w:u w:val="single"/>
        </w:rPr>
        <w:t>1-5</w:t>
      </w:r>
      <w:r>
        <w:tab/>
      </w:r>
      <w:r w:rsidR="00910EDC">
        <w:t xml:space="preserve">The </w:t>
      </w:r>
      <w:r w:rsidR="00910EDC" w:rsidRPr="00910EDC">
        <w:t xml:space="preserve">demand for </w:t>
      </w:r>
      <w:r w:rsidR="00887C3D">
        <w:t xml:space="preserve">financial </w:t>
      </w:r>
      <w:r w:rsidR="00910EDC" w:rsidRPr="00910EDC">
        <w:t xml:space="preserve">accounting information, as an economic good in society, arises from the needs of equity shareholders, creditors, and various other stakeholders for information to make resource allocation decisions. This demand arises because businesses have to compete for and attract scarce economic resources, such as equity and debt capital, productive resources, employees, supplier and customer relationships, and so forth. In order to compete for these valuable resources, companies must provide relevant and </w:t>
      </w:r>
      <w:r w:rsidR="00593EB2">
        <w:t>faithfully represented</w:t>
      </w:r>
      <w:r w:rsidR="00910EDC" w:rsidRPr="00910EDC">
        <w:t xml:space="preserve"> information to those</w:t>
      </w:r>
      <w:r w:rsidR="00DB2E5D">
        <w:t xml:space="preserve"> who can provide the resources.</w:t>
      </w:r>
    </w:p>
    <w:p w:rsidR="0060228C" w:rsidRDefault="0060228C">
      <w:pPr>
        <w:widowControl/>
        <w:autoSpaceDE/>
        <w:autoSpaceDN/>
        <w:adjustRightInd/>
        <w:rPr>
          <w:rFonts w:cs="Arial"/>
          <w:szCs w:val="22"/>
          <w:u w:val="single"/>
        </w:rPr>
      </w:pPr>
      <w:r>
        <w:rPr>
          <w:u w:val="single"/>
        </w:rPr>
        <w:br w:type="page"/>
      </w:r>
    </w:p>
    <w:p w:rsidR="00887C3D" w:rsidRPr="00887C3D" w:rsidRDefault="00DB6794" w:rsidP="006934F4">
      <w:pPr>
        <w:pStyle w:val="QA"/>
      </w:pPr>
      <w:r>
        <w:rPr>
          <w:u w:val="single"/>
        </w:rPr>
        <w:lastRenderedPageBreak/>
        <w:t>1-6</w:t>
      </w:r>
      <w:r>
        <w:tab/>
      </w:r>
      <w:r w:rsidR="00887C3D" w:rsidRPr="00887C3D">
        <w:t xml:space="preserve">To solve the </w:t>
      </w:r>
      <w:r w:rsidR="0097381E">
        <w:t xml:space="preserve">problems that would arise from biases in a </w:t>
      </w:r>
      <w:r w:rsidR="00887C3D" w:rsidRPr="00887C3D">
        <w:t xml:space="preserve">self-reporting </w:t>
      </w:r>
      <w:r w:rsidR="0097381E">
        <w:t>accounting system,</w:t>
      </w:r>
      <w:r w:rsidR="00887C3D" w:rsidRPr="00887C3D">
        <w:t xml:space="preserve"> a natural demand arises for </w:t>
      </w:r>
      <w:r w:rsidR="00887C3D" w:rsidRPr="00887C3D">
        <w:rPr>
          <w:i/>
        </w:rPr>
        <w:t>accounting standards and audits</w:t>
      </w:r>
      <w:r w:rsidR="00887C3D" w:rsidRPr="00887C3D">
        <w:t>. The demand for accounting information drives the demand for professionally established accounting standards that provide authoritative guidance on how to measure and report economic activities in financial statements. In addition, the demand for accounting information also drives the demand for auditing—independent verification and attestation o</w:t>
      </w:r>
      <w:r w:rsidR="0097381E">
        <w:t>f</w:t>
      </w:r>
      <w:r w:rsidR="00887C3D" w:rsidRPr="00887C3D">
        <w:t xml:space="preserve"> whether the financial statements have been fairly presented in accordance with professional accounting standards.</w:t>
      </w:r>
    </w:p>
    <w:p w:rsidR="00DB6794" w:rsidRDefault="00DB6794" w:rsidP="006934F4">
      <w:pPr>
        <w:pStyle w:val="QA"/>
        <w:rPr>
          <w:u w:val="single"/>
        </w:rPr>
      </w:pPr>
    </w:p>
    <w:p w:rsidR="0077707C" w:rsidRPr="006302C2" w:rsidRDefault="0077707C" w:rsidP="0077707C">
      <w:pPr>
        <w:pStyle w:val="QA"/>
        <w:rPr>
          <w:szCs w:val="20"/>
        </w:rPr>
      </w:pPr>
      <w:r>
        <w:rPr>
          <w:szCs w:val="20"/>
          <w:u w:val="single"/>
        </w:rPr>
        <w:t>1-7</w:t>
      </w:r>
      <w:r>
        <w:rPr>
          <w:szCs w:val="20"/>
        </w:rPr>
        <w:tab/>
        <w:t>Generally accepted accounting principles (GAAP) are the principles, concepts, guidelines, procedures, and practices that U.S. companies that are listed in the U</w:t>
      </w:r>
      <w:r w:rsidR="00914AAD">
        <w:rPr>
          <w:szCs w:val="20"/>
        </w:rPr>
        <w:t xml:space="preserve">nited </w:t>
      </w:r>
      <w:r>
        <w:rPr>
          <w:szCs w:val="20"/>
        </w:rPr>
        <w:t>S</w:t>
      </w:r>
      <w:r w:rsidR="00914AAD">
        <w:rPr>
          <w:szCs w:val="20"/>
        </w:rPr>
        <w:t>tates</w:t>
      </w:r>
      <w:r>
        <w:rPr>
          <w:szCs w:val="20"/>
        </w:rPr>
        <w:t xml:space="preserve"> and subject to SEC regulation are required to use in recording and reporting the accounting information in audited financial statements.</w:t>
      </w:r>
    </w:p>
    <w:p w:rsidR="003E280E" w:rsidRDefault="003E280E">
      <w:pPr>
        <w:widowControl/>
        <w:autoSpaceDE/>
        <w:autoSpaceDN/>
        <w:adjustRightInd/>
        <w:rPr>
          <w:rFonts w:ascii="Arial" w:hAnsi="Arial" w:cs="Arial"/>
          <w:szCs w:val="20"/>
          <w:u w:val="single"/>
        </w:rPr>
      </w:pPr>
    </w:p>
    <w:p w:rsidR="00B72450" w:rsidRPr="00B72450" w:rsidRDefault="00DB6794" w:rsidP="006934F4">
      <w:pPr>
        <w:pStyle w:val="QA"/>
        <w:rPr>
          <w:szCs w:val="20"/>
        </w:rPr>
      </w:pPr>
      <w:r>
        <w:rPr>
          <w:szCs w:val="20"/>
          <w:u w:val="single"/>
        </w:rPr>
        <w:t>1-</w:t>
      </w:r>
      <w:r w:rsidR="00BA71E3">
        <w:rPr>
          <w:szCs w:val="20"/>
          <w:u w:val="single"/>
        </w:rPr>
        <w:t>8</w:t>
      </w:r>
      <w:r>
        <w:rPr>
          <w:szCs w:val="20"/>
        </w:rPr>
        <w:tab/>
      </w:r>
      <w:r w:rsidR="00B72450" w:rsidRPr="00B72450">
        <w:rPr>
          <w:szCs w:val="20"/>
        </w:rPr>
        <w:t>The supply of accounting information that companies report to external stakeholders is determined primarily by the interacti</w:t>
      </w:r>
      <w:r w:rsidR="00941903">
        <w:rPr>
          <w:szCs w:val="20"/>
        </w:rPr>
        <w:t>ons between two sets of forces:</w:t>
      </w:r>
    </w:p>
    <w:p w:rsidR="004A6EE3" w:rsidRPr="0033534E" w:rsidRDefault="00B72450" w:rsidP="005F59DE">
      <w:pPr>
        <w:pStyle w:val="QAbullettdlist"/>
        <w:ind w:left="1440"/>
      </w:pPr>
      <w:r w:rsidRPr="0033534E">
        <w:t>The authoritative professional accounting standards that govern in the company</w:t>
      </w:r>
      <w:r w:rsidR="0077707C">
        <w:t>’</w:t>
      </w:r>
      <w:r w:rsidRPr="0033534E">
        <w:t xml:space="preserve">s country of incorporation, such as U.S. GAAP or IFRS, and </w:t>
      </w:r>
    </w:p>
    <w:p w:rsidR="001933FC" w:rsidRPr="0033534E" w:rsidRDefault="004A6EE3" w:rsidP="005F59DE">
      <w:pPr>
        <w:pStyle w:val="QAbullettdlist"/>
        <w:ind w:left="1440"/>
      </w:pPr>
      <w:r w:rsidRPr="0033534E">
        <w:t>t</w:t>
      </w:r>
      <w:r w:rsidR="00B72450" w:rsidRPr="0033534E">
        <w:t>he many choices, methods, estimates, and judgments that the company must make in order to apply those accounting standards to measure and repo</w:t>
      </w:r>
      <w:r w:rsidR="00254DCB">
        <w:t>rt their financial statements.</w:t>
      </w:r>
    </w:p>
    <w:p w:rsidR="0027414A" w:rsidRDefault="0027414A">
      <w:pPr>
        <w:widowControl/>
        <w:autoSpaceDE/>
        <w:autoSpaceDN/>
        <w:adjustRightInd/>
        <w:rPr>
          <w:rFonts w:ascii="Arial" w:hAnsi="Arial" w:cs="Arial"/>
          <w:sz w:val="22"/>
          <w:szCs w:val="20"/>
          <w:u w:val="single"/>
        </w:rPr>
      </w:pPr>
    </w:p>
    <w:p w:rsidR="001933FC" w:rsidRDefault="00DB6794" w:rsidP="006934F4">
      <w:pPr>
        <w:pStyle w:val="QA"/>
        <w:rPr>
          <w:szCs w:val="20"/>
        </w:rPr>
      </w:pPr>
      <w:r>
        <w:rPr>
          <w:szCs w:val="20"/>
          <w:u w:val="single"/>
        </w:rPr>
        <w:t>1-</w:t>
      </w:r>
      <w:r w:rsidR="00BA71E3">
        <w:rPr>
          <w:szCs w:val="20"/>
          <w:u w:val="single"/>
        </w:rPr>
        <w:t>9</w:t>
      </w:r>
      <w:r>
        <w:rPr>
          <w:szCs w:val="20"/>
        </w:rPr>
        <w:tab/>
      </w:r>
      <w:r w:rsidR="004A6EE3" w:rsidRPr="004A6EE3">
        <w:rPr>
          <w:szCs w:val="20"/>
        </w:rPr>
        <w:t xml:space="preserve">The stated mission of the U.S. Securities and Exchange Commission is to </w:t>
      </w:r>
      <w:r w:rsidR="00877D51">
        <w:rPr>
          <w:szCs w:val="20"/>
        </w:rPr>
        <w:t>“</w:t>
      </w:r>
      <w:r w:rsidR="004A6EE3" w:rsidRPr="004A6EE3">
        <w:rPr>
          <w:szCs w:val="20"/>
        </w:rPr>
        <w:t>protect investors, maintain fair, orderly, and efficient markets, and facilitate capital formation.</w:t>
      </w:r>
      <w:r w:rsidR="00877D51">
        <w:rPr>
          <w:szCs w:val="20"/>
        </w:rPr>
        <w:t>”</w:t>
      </w:r>
      <w:r w:rsidR="004A6EE3">
        <w:rPr>
          <w:szCs w:val="20"/>
        </w:rPr>
        <w:t xml:space="preserve"> </w:t>
      </w:r>
      <w:r w:rsidR="004A6EE3" w:rsidRPr="004A6EE3">
        <w:rPr>
          <w:szCs w:val="20"/>
        </w:rPr>
        <w:t>The U.S. Congress created the SEC to administer the Securities Act of 1933 and the Securities Exchange Act of 1934. Under these Acts, the SEC has the legal authority to prescribe accounting principles and reporting practices for all corporations issuing publicly traded securities within the U.S. capital markets.</w:t>
      </w:r>
      <w:r w:rsidR="004A6EE3">
        <w:rPr>
          <w:szCs w:val="20"/>
        </w:rPr>
        <w:t xml:space="preserve"> </w:t>
      </w:r>
      <w:r w:rsidR="006B37CB" w:rsidRPr="006B37CB">
        <w:rPr>
          <w:szCs w:val="20"/>
        </w:rPr>
        <w:t>The SEC has mandated that the information communicated to external users in financial reporting must be based on professionally established accounting principles, such as GAAP for U.S companies and IFRS for non-U.S. companies.</w:t>
      </w:r>
    </w:p>
    <w:p w:rsidR="007C0F78" w:rsidRDefault="007C0F78" w:rsidP="007C0F78">
      <w:pPr>
        <w:pStyle w:val="6pt"/>
      </w:pPr>
    </w:p>
    <w:p w:rsidR="006B37CB" w:rsidRDefault="006B37CB" w:rsidP="006934F4">
      <w:pPr>
        <w:pStyle w:val="QA"/>
        <w:rPr>
          <w:szCs w:val="20"/>
        </w:rPr>
      </w:pPr>
      <w:r>
        <w:rPr>
          <w:szCs w:val="20"/>
        </w:rPr>
        <w:tab/>
        <w:t>T</w:t>
      </w:r>
      <w:r w:rsidRPr="006B37CB">
        <w:rPr>
          <w:szCs w:val="20"/>
        </w:rPr>
        <w:t>he SEC delegates th</w:t>
      </w:r>
      <w:r>
        <w:rPr>
          <w:szCs w:val="20"/>
        </w:rPr>
        <w:t>e</w:t>
      </w:r>
      <w:r w:rsidRPr="006B37CB">
        <w:rPr>
          <w:szCs w:val="20"/>
        </w:rPr>
        <w:t xml:space="preserve"> authority</w:t>
      </w:r>
      <w:r>
        <w:rPr>
          <w:szCs w:val="20"/>
        </w:rPr>
        <w:t xml:space="preserve"> over standard setting</w:t>
      </w:r>
      <w:r w:rsidRPr="006B37CB">
        <w:rPr>
          <w:szCs w:val="20"/>
        </w:rPr>
        <w:t xml:space="preserve"> to private standard</w:t>
      </w:r>
      <w:r w:rsidR="00C40742">
        <w:rPr>
          <w:szCs w:val="20"/>
        </w:rPr>
        <w:t>-</w:t>
      </w:r>
      <w:r w:rsidRPr="006B37CB">
        <w:rPr>
          <w:szCs w:val="20"/>
        </w:rPr>
        <w:t>setting bodies within the accounting profession, such as the Financial Accounting Standards Board (FASB) establishing GAAP for U.S. companies and the International Accounting Standards Board (IASB) establishing IFRS for companies from many other countries around the world. The SEC monitors closely and oversees the standards being developed by these standard setters. From time to time, the SEC exerts pressure on the standard setters to adopt, or not adopt, specific standards.</w:t>
      </w:r>
    </w:p>
    <w:p w:rsidR="00DB6794" w:rsidRDefault="00DB6794" w:rsidP="006934F4">
      <w:pPr>
        <w:pStyle w:val="QA"/>
        <w:rPr>
          <w:szCs w:val="20"/>
          <w:u w:val="single"/>
        </w:rPr>
      </w:pPr>
    </w:p>
    <w:p w:rsidR="000E6FE1" w:rsidRDefault="00DB6794" w:rsidP="006934F4">
      <w:pPr>
        <w:pStyle w:val="QA"/>
        <w:rPr>
          <w:szCs w:val="20"/>
        </w:rPr>
      </w:pPr>
      <w:r>
        <w:rPr>
          <w:szCs w:val="20"/>
          <w:u w:val="single"/>
        </w:rPr>
        <w:t>1-</w:t>
      </w:r>
      <w:r w:rsidR="00BA71E3">
        <w:rPr>
          <w:szCs w:val="20"/>
          <w:u w:val="single"/>
        </w:rPr>
        <w:t>10</w:t>
      </w:r>
      <w:r>
        <w:rPr>
          <w:szCs w:val="20"/>
        </w:rPr>
        <w:tab/>
      </w:r>
      <w:r w:rsidR="00390FAF" w:rsidRPr="00390FAF">
        <w:rPr>
          <w:szCs w:val="20"/>
        </w:rPr>
        <w:t>The FASB is responsible for identifying financial accounting issues, conducting research to address these issues, and resolving them by issuing new accounting standards</w:t>
      </w:r>
      <w:r w:rsidR="00390FAF">
        <w:rPr>
          <w:szCs w:val="20"/>
        </w:rPr>
        <w:t xml:space="preserve"> applicable to U.S. companies</w:t>
      </w:r>
      <w:r w:rsidR="00390FAF" w:rsidRPr="00390FAF">
        <w:rPr>
          <w:szCs w:val="20"/>
        </w:rPr>
        <w:t>.</w:t>
      </w:r>
      <w:r w:rsidR="000E6FE1" w:rsidRPr="000E6FE1">
        <w:rPr>
          <w:rFonts w:ascii="Times" w:hAnsi="Times"/>
          <w:sz w:val="24"/>
        </w:rPr>
        <w:t xml:space="preserve"> </w:t>
      </w:r>
      <w:r w:rsidR="000E6FE1" w:rsidRPr="000E6FE1">
        <w:rPr>
          <w:szCs w:val="20"/>
        </w:rPr>
        <w:t>The FASB</w:t>
      </w:r>
      <w:r w:rsidR="00634D27">
        <w:rPr>
          <w:szCs w:val="20"/>
        </w:rPr>
        <w:t xml:space="preserve"> fulfills its responsibility by:</w:t>
      </w:r>
    </w:p>
    <w:p w:rsidR="00634D27" w:rsidRPr="0027414A" w:rsidRDefault="000E6FE1" w:rsidP="005F59DE">
      <w:pPr>
        <w:pStyle w:val="QAbullettdlist"/>
        <w:ind w:left="1440"/>
      </w:pPr>
      <w:r w:rsidRPr="0027414A">
        <w:t xml:space="preserve">establishing standards that are the most acceptable, given the various affected constituencies, and </w:t>
      </w:r>
    </w:p>
    <w:p w:rsidR="001933FC" w:rsidRPr="0027414A" w:rsidRDefault="000E6FE1" w:rsidP="005F59DE">
      <w:pPr>
        <w:pStyle w:val="QAbullettdlist"/>
        <w:ind w:left="1440"/>
      </w:pPr>
      <w:r w:rsidRPr="0027414A">
        <w:t>continually monitoring the consequences of its actions so that revised standards can be issued where appropriate.</w:t>
      </w:r>
    </w:p>
    <w:p w:rsidR="00BC2678" w:rsidRDefault="00BC2678">
      <w:pPr>
        <w:widowControl/>
        <w:autoSpaceDE/>
        <w:autoSpaceDN/>
        <w:adjustRightInd/>
        <w:rPr>
          <w:szCs w:val="20"/>
          <w:u w:val="single"/>
        </w:rPr>
      </w:pPr>
    </w:p>
    <w:p w:rsidR="005F59DE" w:rsidRDefault="005F59DE">
      <w:pPr>
        <w:widowControl/>
        <w:autoSpaceDE/>
        <w:autoSpaceDN/>
        <w:adjustRightInd/>
        <w:rPr>
          <w:szCs w:val="20"/>
          <w:u w:val="single"/>
        </w:rPr>
      </w:pPr>
      <w:r>
        <w:rPr>
          <w:szCs w:val="20"/>
          <w:u w:val="single"/>
        </w:rPr>
        <w:br w:type="page"/>
      </w:r>
    </w:p>
    <w:p w:rsidR="00BC2678" w:rsidRDefault="00BC2678" w:rsidP="00340212">
      <w:pPr>
        <w:widowControl/>
        <w:autoSpaceDE/>
        <w:autoSpaceDN/>
        <w:adjustRightInd/>
        <w:ind w:left="1080" w:hanging="1080"/>
        <w:rPr>
          <w:szCs w:val="20"/>
        </w:rPr>
      </w:pPr>
      <w:r>
        <w:rPr>
          <w:szCs w:val="20"/>
          <w:u w:val="single"/>
        </w:rPr>
        <w:lastRenderedPageBreak/>
        <w:t>1-11</w:t>
      </w:r>
      <w:r>
        <w:rPr>
          <w:szCs w:val="20"/>
        </w:rPr>
        <w:tab/>
        <w:t xml:space="preserve">In assisting the </w:t>
      </w:r>
      <w:r w:rsidRPr="00390FAF">
        <w:rPr>
          <w:szCs w:val="20"/>
        </w:rPr>
        <w:t>FASB</w:t>
      </w:r>
      <w:r>
        <w:rPr>
          <w:szCs w:val="20"/>
        </w:rPr>
        <w:t>, the primary objectives of the EITF are:</w:t>
      </w:r>
      <w:r w:rsidRPr="00390FAF">
        <w:rPr>
          <w:szCs w:val="20"/>
        </w:rPr>
        <w:t xml:space="preserve"> </w:t>
      </w:r>
    </w:p>
    <w:p w:rsidR="005F59DE" w:rsidRDefault="005F59DE" w:rsidP="005F59DE">
      <w:pPr>
        <w:pStyle w:val="6pt"/>
      </w:pPr>
    </w:p>
    <w:p w:rsidR="00BC2678" w:rsidRDefault="00BC2678" w:rsidP="005F59DE">
      <w:pPr>
        <w:pStyle w:val="QAbullettdlist"/>
        <w:ind w:left="1440"/>
      </w:pPr>
      <w:r w:rsidRPr="00BC2678">
        <w:t>to identify significant emerging accounting issues (i.e., unique transactions and accounting problems) that it feels the FASB should address</w:t>
      </w:r>
    </w:p>
    <w:p w:rsidR="0060228C" w:rsidRPr="00BC2678" w:rsidRDefault="00BC2678" w:rsidP="005F59DE">
      <w:pPr>
        <w:pStyle w:val="QAbullettdlist"/>
        <w:ind w:left="1440"/>
        <w:rPr>
          <w:rFonts w:cs="Arial"/>
          <w:u w:val="single"/>
        </w:rPr>
      </w:pPr>
      <w:r w:rsidRPr="00BC2678">
        <w:t>to develop consensus positions on the implementation issues involving the application of standards. In some cases, these consensus positions may be viewed as the ‘‘best</w:t>
      </w:r>
      <w:r>
        <w:t xml:space="preserve"> </w:t>
      </w:r>
      <w:r w:rsidRPr="00BC2678">
        <w:t>available guidance’’ on GAAP, particularly as they relate to new accounting issues.</w:t>
      </w:r>
      <w:r w:rsidRPr="00BC2678">
        <w:rPr>
          <w:u w:val="single"/>
        </w:rPr>
        <w:t xml:space="preserve"> </w:t>
      </w:r>
    </w:p>
    <w:p w:rsidR="00BC2678" w:rsidRPr="00BC2678" w:rsidRDefault="00BC2678" w:rsidP="00BC2678">
      <w:pPr>
        <w:widowControl/>
        <w:autoSpaceDE/>
        <w:autoSpaceDN/>
        <w:adjustRightInd/>
        <w:rPr>
          <w:rFonts w:cs="Arial"/>
          <w:szCs w:val="20"/>
          <w:u w:val="single"/>
        </w:rPr>
      </w:pPr>
    </w:p>
    <w:p w:rsidR="00350A73" w:rsidRDefault="00DB6794" w:rsidP="0060228C">
      <w:pPr>
        <w:pStyle w:val="QA"/>
        <w:rPr>
          <w:szCs w:val="20"/>
        </w:rPr>
      </w:pPr>
      <w:r>
        <w:rPr>
          <w:szCs w:val="20"/>
          <w:u w:val="single"/>
        </w:rPr>
        <w:t>1-</w:t>
      </w:r>
      <w:r w:rsidR="00BA71E3">
        <w:rPr>
          <w:szCs w:val="20"/>
          <w:u w:val="single"/>
        </w:rPr>
        <w:t>1</w:t>
      </w:r>
      <w:r w:rsidR="00C40742">
        <w:rPr>
          <w:szCs w:val="20"/>
          <w:u w:val="single"/>
        </w:rPr>
        <w:t>2</w:t>
      </w:r>
      <w:r>
        <w:rPr>
          <w:szCs w:val="20"/>
        </w:rPr>
        <w:tab/>
      </w:r>
      <w:r w:rsidR="00AE5450" w:rsidRPr="006302C2">
        <w:rPr>
          <w:szCs w:val="20"/>
        </w:rPr>
        <w:t>The Codification</w:t>
      </w:r>
      <w:r w:rsidR="00AE5450">
        <w:rPr>
          <w:szCs w:val="20"/>
        </w:rPr>
        <w:t xml:space="preserve"> </w:t>
      </w:r>
      <w:r w:rsidR="006302C2" w:rsidRPr="006302C2">
        <w:rPr>
          <w:szCs w:val="20"/>
        </w:rPr>
        <w:t>is an electronic database that integrates and topically organizes the U.S. GAAP into one coherent body of literature.</w:t>
      </w:r>
      <w:r w:rsidR="006302C2">
        <w:rPr>
          <w:szCs w:val="20"/>
        </w:rPr>
        <w:t xml:space="preserve"> </w:t>
      </w:r>
      <w:r w:rsidR="00AE5450">
        <w:rPr>
          <w:szCs w:val="20"/>
        </w:rPr>
        <w:t xml:space="preserve">There are </w:t>
      </w:r>
      <w:r w:rsidR="006302C2">
        <w:rPr>
          <w:szCs w:val="20"/>
        </w:rPr>
        <w:t>six</w:t>
      </w:r>
      <w:r w:rsidR="00AE5450">
        <w:rPr>
          <w:szCs w:val="20"/>
        </w:rPr>
        <w:t xml:space="preserve"> levels in the framework of Codification: </w:t>
      </w:r>
      <w:r w:rsidR="006302C2">
        <w:rPr>
          <w:szCs w:val="20"/>
        </w:rPr>
        <w:t xml:space="preserve">Areas, </w:t>
      </w:r>
      <w:r w:rsidR="00AE5450">
        <w:rPr>
          <w:szCs w:val="20"/>
        </w:rPr>
        <w:t xml:space="preserve">Topics, Subtopics, Sections, </w:t>
      </w:r>
      <w:r w:rsidR="006302C2">
        <w:rPr>
          <w:szCs w:val="20"/>
        </w:rPr>
        <w:t xml:space="preserve">Subsections, </w:t>
      </w:r>
      <w:r w:rsidR="00AE5450">
        <w:rPr>
          <w:szCs w:val="20"/>
        </w:rPr>
        <w:t>and Paragraphs. The Topics level contains a collection of related gu</w:t>
      </w:r>
      <w:r w:rsidR="006302C2">
        <w:rPr>
          <w:szCs w:val="20"/>
        </w:rPr>
        <w:t>idance on a particular subject A</w:t>
      </w:r>
      <w:r w:rsidR="00AE5450">
        <w:rPr>
          <w:szCs w:val="20"/>
        </w:rPr>
        <w:t xml:space="preserve">rea. The Subtopics level includes subsets of a Topic. The Sections level characterizes the nature of the content in a Subtopic (e.g., Recognition, Measurement, Disclosure). </w:t>
      </w:r>
      <w:r w:rsidR="00101FA0">
        <w:rPr>
          <w:szCs w:val="20"/>
        </w:rPr>
        <w:t xml:space="preserve">The </w:t>
      </w:r>
      <w:r w:rsidR="006302C2">
        <w:rPr>
          <w:szCs w:val="20"/>
        </w:rPr>
        <w:t xml:space="preserve">Subsections level </w:t>
      </w:r>
      <w:r w:rsidR="00101FA0">
        <w:rPr>
          <w:szCs w:val="20"/>
        </w:rPr>
        <w:t xml:space="preserve">provides finer breakdown of the content in a Section. </w:t>
      </w:r>
      <w:r w:rsidR="00AE5450">
        <w:rPr>
          <w:szCs w:val="20"/>
        </w:rPr>
        <w:t>Paragraphs contain the guidance that constitu</w:t>
      </w:r>
      <w:r w:rsidR="0066321C">
        <w:rPr>
          <w:szCs w:val="20"/>
        </w:rPr>
        <w:t>tes</w:t>
      </w:r>
      <w:r w:rsidR="00AE5450">
        <w:rPr>
          <w:szCs w:val="20"/>
        </w:rPr>
        <w:t xml:space="preserve"> GAAP.</w:t>
      </w:r>
    </w:p>
    <w:p w:rsidR="0060228C" w:rsidRDefault="0060228C" w:rsidP="0060228C">
      <w:pPr>
        <w:pStyle w:val="6pt"/>
      </w:pPr>
    </w:p>
    <w:p w:rsidR="00057702" w:rsidRDefault="006D57C3" w:rsidP="006934F4">
      <w:pPr>
        <w:pStyle w:val="QA"/>
        <w:rPr>
          <w:szCs w:val="20"/>
        </w:rPr>
      </w:pPr>
      <w:r>
        <w:rPr>
          <w:szCs w:val="20"/>
        </w:rPr>
        <w:tab/>
      </w:r>
      <w:r w:rsidR="00057702">
        <w:rPr>
          <w:szCs w:val="20"/>
        </w:rPr>
        <w:t>The FASB issued six types of pronouncements prior to the Codification:</w:t>
      </w:r>
    </w:p>
    <w:p w:rsidR="005F59DE" w:rsidRDefault="005F59DE" w:rsidP="005F59DE">
      <w:pPr>
        <w:pStyle w:val="6pt"/>
      </w:pPr>
    </w:p>
    <w:p w:rsidR="00057702" w:rsidRPr="006D57C3" w:rsidRDefault="00057702" w:rsidP="006D57C3">
      <w:pPr>
        <w:pStyle w:val="QAnumberedlist"/>
      </w:pPr>
      <w:r w:rsidRPr="006D57C3">
        <w:t>1.</w:t>
      </w:r>
      <w:r w:rsidRPr="006D57C3">
        <w:tab/>
      </w:r>
      <w:r w:rsidRPr="004221A3">
        <w:rPr>
          <w:i/>
        </w:rPr>
        <w:t>Statements of Financial Accounting Standards</w:t>
      </w:r>
      <w:r w:rsidRPr="006D57C3">
        <w:t>. These pronouncements established GAAP. They indicated the methods and procedures required on specific accounting issues.</w:t>
      </w:r>
    </w:p>
    <w:p w:rsidR="00057702" w:rsidRPr="006D57C3" w:rsidRDefault="00057702" w:rsidP="006D57C3">
      <w:pPr>
        <w:pStyle w:val="QAnumberedlist"/>
      </w:pPr>
      <w:r w:rsidRPr="006D57C3">
        <w:t>2.</w:t>
      </w:r>
      <w:r w:rsidRPr="006D57C3">
        <w:tab/>
      </w:r>
      <w:r w:rsidRPr="004221A3">
        <w:rPr>
          <w:i/>
        </w:rPr>
        <w:t>Interpretations</w:t>
      </w:r>
      <w:r w:rsidRPr="006D57C3">
        <w:t xml:space="preserve">. These pronouncements provided clarifications of conflicting or unclear issues relating to previously issued </w:t>
      </w:r>
      <w:r w:rsidRPr="004221A3">
        <w:rPr>
          <w:i/>
        </w:rPr>
        <w:t>FASB Statements of Financial Accounting Standards</w:t>
      </w:r>
      <w:r w:rsidRPr="006D57C3">
        <w:t xml:space="preserve">, </w:t>
      </w:r>
      <w:r w:rsidRPr="004221A3">
        <w:rPr>
          <w:i/>
        </w:rPr>
        <w:t>APB Opinions</w:t>
      </w:r>
      <w:r w:rsidRPr="006D57C3">
        <w:t xml:space="preserve">, or </w:t>
      </w:r>
      <w:r w:rsidRPr="004221A3">
        <w:rPr>
          <w:i/>
        </w:rPr>
        <w:t>Accounting Research Bulletins</w:t>
      </w:r>
      <w:r w:rsidRPr="006D57C3">
        <w:t>.</w:t>
      </w:r>
    </w:p>
    <w:p w:rsidR="00057702" w:rsidRPr="006D57C3" w:rsidRDefault="00057702" w:rsidP="006D57C3">
      <w:pPr>
        <w:pStyle w:val="QAnumberedlist"/>
      </w:pPr>
      <w:r w:rsidRPr="006D57C3">
        <w:t>3.</w:t>
      </w:r>
      <w:r w:rsidRPr="006D57C3">
        <w:tab/>
      </w:r>
      <w:r w:rsidRPr="004221A3">
        <w:rPr>
          <w:i/>
        </w:rPr>
        <w:t>Staff Positions</w:t>
      </w:r>
      <w:r w:rsidRPr="006D57C3">
        <w:t>. The staff of the FASB issued these pronouncements to provide more timely and consistent application guidance in regard to FASB literature, as well as to make narrow and limited revisions of GAAP.</w:t>
      </w:r>
    </w:p>
    <w:p w:rsidR="00057702" w:rsidRPr="006D57C3" w:rsidRDefault="00057702" w:rsidP="006D57C3">
      <w:pPr>
        <w:pStyle w:val="QAnumberedlist"/>
      </w:pPr>
      <w:r w:rsidRPr="006D57C3">
        <w:t>4.</w:t>
      </w:r>
      <w:r w:rsidRPr="006D57C3">
        <w:tab/>
      </w:r>
      <w:r w:rsidRPr="004221A3">
        <w:rPr>
          <w:i/>
        </w:rPr>
        <w:t>Technical Bulletins</w:t>
      </w:r>
      <w:r w:rsidRPr="006D57C3">
        <w:t xml:space="preserve">. The staff of the FASB issued these pronouncements to clarify, explain, and elaborate on accounting and reporting issues related to </w:t>
      </w:r>
      <w:r w:rsidRPr="004221A3">
        <w:rPr>
          <w:i/>
        </w:rPr>
        <w:t>Statements of Standards</w:t>
      </w:r>
      <w:r w:rsidRPr="006D57C3">
        <w:t xml:space="preserve"> or </w:t>
      </w:r>
      <w:r w:rsidRPr="004221A3">
        <w:rPr>
          <w:i/>
        </w:rPr>
        <w:t>Interpretations</w:t>
      </w:r>
      <w:r w:rsidRPr="006D57C3">
        <w:t>.</w:t>
      </w:r>
    </w:p>
    <w:p w:rsidR="00057702" w:rsidRDefault="002523CF" w:rsidP="002523CF">
      <w:pPr>
        <w:pStyle w:val="QAnumberedlist"/>
      </w:pPr>
      <w:r w:rsidRPr="002523CF">
        <w:t>5.</w:t>
      </w:r>
      <w:r w:rsidRPr="002523CF">
        <w:tab/>
      </w:r>
      <w:r w:rsidR="00057702" w:rsidRPr="004221A3">
        <w:rPr>
          <w:i/>
        </w:rPr>
        <w:t>Statements of Financial Accounting Concepts</w:t>
      </w:r>
      <w:r w:rsidR="00057702">
        <w:t>. These pronouncements established a theoretical foundation upon which to base GAAP. They are the output of the FASB</w:t>
      </w:r>
      <w:r w:rsidR="0077707C">
        <w:t>’</w:t>
      </w:r>
      <w:r w:rsidR="00057702">
        <w:t xml:space="preserve">s </w:t>
      </w:r>
      <w:r w:rsidR="00877D51">
        <w:t>“</w:t>
      </w:r>
      <w:r w:rsidR="00057702">
        <w:t>conceptual framework</w:t>
      </w:r>
      <w:r w:rsidR="00877D51">
        <w:t>”</w:t>
      </w:r>
      <w:r w:rsidR="00057702">
        <w:t xml:space="preserve"> project.</w:t>
      </w:r>
    </w:p>
    <w:p w:rsidR="00057702" w:rsidRDefault="002523CF" w:rsidP="002523CF">
      <w:pPr>
        <w:pStyle w:val="QAnumberedlist"/>
      </w:pPr>
      <w:r w:rsidRPr="002523CF">
        <w:t>6.</w:t>
      </w:r>
      <w:r w:rsidRPr="002523CF">
        <w:tab/>
      </w:r>
      <w:r w:rsidR="00057702" w:rsidRPr="004221A3">
        <w:rPr>
          <w:i/>
        </w:rPr>
        <w:t>Other Pronouncements</w:t>
      </w:r>
      <w:r w:rsidR="00057702">
        <w:t xml:space="preserve">. On a major topic, the staff of the FASB may have issued a </w:t>
      </w:r>
      <w:r w:rsidR="00057702" w:rsidRPr="004221A3">
        <w:rPr>
          <w:i/>
        </w:rPr>
        <w:t>Guide for Implementation</w:t>
      </w:r>
      <w:r w:rsidR="00057702">
        <w:t>.</w:t>
      </w:r>
    </w:p>
    <w:p w:rsidR="007C0F78" w:rsidRDefault="007C0F78" w:rsidP="007C0F78">
      <w:pPr>
        <w:pStyle w:val="6pt"/>
      </w:pPr>
    </w:p>
    <w:p w:rsidR="00FF79C5" w:rsidRPr="00FF79C5" w:rsidRDefault="0066096A" w:rsidP="006934F4">
      <w:pPr>
        <w:pStyle w:val="QA"/>
        <w:rPr>
          <w:szCs w:val="20"/>
        </w:rPr>
      </w:pPr>
      <w:r>
        <w:rPr>
          <w:szCs w:val="20"/>
        </w:rPr>
        <w:tab/>
      </w:r>
      <w:r w:rsidR="00057702">
        <w:rPr>
          <w:szCs w:val="20"/>
        </w:rPr>
        <w:t xml:space="preserve">The Codification did not change GAAP per se, in that it did not issue or rescind any standards. Instead, </w:t>
      </w:r>
      <w:r w:rsidR="00FF79C5">
        <w:rPr>
          <w:szCs w:val="20"/>
        </w:rPr>
        <w:t>t</w:t>
      </w:r>
      <w:r w:rsidR="00FF79C5" w:rsidRPr="00FF79C5">
        <w:rPr>
          <w:szCs w:val="20"/>
        </w:rPr>
        <w:t>he FASB developed the Codification to achieve three goals:</w:t>
      </w:r>
    </w:p>
    <w:p w:rsidR="005F59DE" w:rsidRDefault="005F59DE" w:rsidP="005F59DE">
      <w:pPr>
        <w:pStyle w:val="6pt"/>
      </w:pPr>
    </w:p>
    <w:p w:rsidR="00FF79C5" w:rsidRPr="00FF79C5" w:rsidRDefault="00FF79C5" w:rsidP="005F59DE">
      <w:pPr>
        <w:pStyle w:val="QAbullettdlist"/>
        <w:ind w:left="1440"/>
      </w:pPr>
      <w:r w:rsidRPr="00FF79C5">
        <w:t>Simplify user access by codifying all authoritative U.S. GAAP in one spot.</w:t>
      </w:r>
    </w:p>
    <w:p w:rsidR="00FF79C5" w:rsidRPr="00FF79C5" w:rsidRDefault="00FF79C5" w:rsidP="005F59DE">
      <w:pPr>
        <w:pStyle w:val="QAbullettdlist"/>
        <w:ind w:left="1440"/>
      </w:pPr>
      <w:r w:rsidRPr="00FF79C5">
        <w:t>Ensure the codified content accurately represented all authoritative U.S. GAAP.</w:t>
      </w:r>
    </w:p>
    <w:p w:rsidR="00FF79C5" w:rsidRPr="00FF79C5" w:rsidRDefault="00FF79C5" w:rsidP="005F59DE">
      <w:pPr>
        <w:pStyle w:val="QAbullettdlist"/>
        <w:ind w:left="1440"/>
      </w:pPr>
      <w:r w:rsidRPr="00FF79C5">
        <w:t>Create a codification research system that is up to date, including the most recently released standards.</w:t>
      </w:r>
    </w:p>
    <w:p w:rsidR="00FE0D30" w:rsidRDefault="00FE0D30" w:rsidP="00FE0D30">
      <w:pPr>
        <w:pStyle w:val="QA"/>
        <w:rPr>
          <w:szCs w:val="20"/>
          <w:u w:val="single"/>
        </w:rPr>
      </w:pPr>
    </w:p>
    <w:p w:rsidR="005F59DE" w:rsidRDefault="005F59DE">
      <w:pPr>
        <w:widowControl/>
        <w:autoSpaceDE/>
        <w:autoSpaceDN/>
        <w:adjustRightInd/>
        <w:rPr>
          <w:rFonts w:cs="Arial"/>
          <w:szCs w:val="20"/>
          <w:u w:val="single"/>
        </w:rPr>
      </w:pPr>
      <w:r>
        <w:rPr>
          <w:szCs w:val="20"/>
          <w:u w:val="single"/>
        </w:rPr>
        <w:br w:type="page"/>
      </w:r>
    </w:p>
    <w:p w:rsidR="00FE0D30" w:rsidRPr="0087266A" w:rsidRDefault="00FE0D30" w:rsidP="00FE0D30">
      <w:pPr>
        <w:pStyle w:val="QA"/>
        <w:rPr>
          <w:b/>
          <w:szCs w:val="20"/>
        </w:rPr>
      </w:pPr>
      <w:r>
        <w:rPr>
          <w:szCs w:val="20"/>
          <w:u w:val="single"/>
        </w:rPr>
        <w:lastRenderedPageBreak/>
        <w:t>1-1</w:t>
      </w:r>
      <w:r w:rsidR="00C40742">
        <w:rPr>
          <w:szCs w:val="20"/>
          <w:u w:val="single"/>
        </w:rPr>
        <w:t>3</w:t>
      </w:r>
      <w:r>
        <w:rPr>
          <w:szCs w:val="20"/>
        </w:rPr>
        <w:tab/>
        <w:t>Before issuing an Accounting Standards Update, the FASB generally completes a multistage process as follows:</w:t>
      </w:r>
    </w:p>
    <w:p w:rsidR="00FE0D30" w:rsidRDefault="00FE0D30" w:rsidP="002A7F60">
      <w:pPr>
        <w:pStyle w:val="6pt"/>
      </w:pPr>
    </w:p>
    <w:p w:rsidR="00FE0D30" w:rsidRPr="00FE0D30" w:rsidRDefault="00FE0D30" w:rsidP="00350A73">
      <w:pPr>
        <w:pStyle w:val="QAsub"/>
      </w:pPr>
      <w:r>
        <w:tab/>
      </w:r>
      <w:r w:rsidR="00340212">
        <w:t xml:space="preserve">  </w:t>
      </w:r>
      <w:r w:rsidRPr="00FE0D30">
        <w:t>(1)</w:t>
      </w:r>
      <w:r w:rsidRPr="00FE0D30">
        <w:tab/>
        <w:t>identifies topic</w:t>
      </w:r>
    </w:p>
    <w:p w:rsidR="00FE0D30" w:rsidRPr="00FE0D30" w:rsidRDefault="00FE0D30" w:rsidP="00436D6E">
      <w:pPr>
        <w:pStyle w:val="QAsub"/>
      </w:pPr>
      <w:r>
        <w:tab/>
      </w:r>
      <w:r w:rsidR="00340212">
        <w:t xml:space="preserve">  </w:t>
      </w:r>
      <w:r w:rsidRPr="00FE0D30">
        <w:t>(2)</w:t>
      </w:r>
      <w:r w:rsidRPr="00FE0D30">
        <w:tab/>
        <w:t>appoints task force</w:t>
      </w:r>
    </w:p>
    <w:p w:rsidR="00FE0D30" w:rsidRPr="00FE0D30" w:rsidRDefault="00FE0D30" w:rsidP="00436D6E">
      <w:pPr>
        <w:pStyle w:val="QAsub"/>
      </w:pPr>
      <w:r>
        <w:tab/>
      </w:r>
      <w:r w:rsidR="00340212">
        <w:t xml:space="preserve">  </w:t>
      </w:r>
      <w:r w:rsidRPr="00FE0D30">
        <w:t>(3)</w:t>
      </w:r>
      <w:r w:rsidRPr="00FE0D30">
        <w:tab/>
        <w:t>conducts research</w:t>
      </w:r>
    </w:p>
    <w:p w:rsidR="00FE0D30" w:rsidRPr="00FE0D30" w:rsidRDefault="00FE0D30" w:rsidP="00436D6E">
      <w:pPr>
        <w:pStyle w:val="QAsub"/>
      </w:pPr>
      <w:r>
        <w:tab/>
      </w:r>
      <w:r w:rsidR="00340212">
        <w:t xml:space="preserve">  </w:t>
      </w:r>
      <w:r w:rsidRPr="00FE0D30">
        <w:t>(4)</w:t>
      </w:r>
      <w:r w:rsidRPr="00FE0D30">
        <w:tab/>
        <w:t>issues Discussion Memorandum or Invitation to Comment</w:t>
      </w:r>
    </w:p>
    <w:p w:rsidR="00FE0D30" w:rsidRPr="00FE0D30" w:rsidRDefault="00FE0D30" w:rsidP="00436D6E">
      <w:pPr>
        <w:pStyle w:val="QAsub"/>
      </w:pPr>
      <w:r>
        <w:tab/>
      </w:r>
      <w:r w:rsidR="00340212">
        <w:t xml:space="preserve">  </w:t>
      </w:r>
      <w:r w:rsidRPr="00FE0D30">
        <w:t>(5)</w:t>
      </w:r>
      <w:r w:rsidRPr="00FE0D30">
        <w:tab/>
        <w:t>holds public hearings</w:t>
      </w:r>
    </w:p>
    <w:p w:rsidR="00FE0D30" w:rsidRPr="00FE0D30" w:rsidRDefault="00FE0D30" w:rsidP="00436D6E">
      <w:pPr>
        <w:pStyle w:val="QAsub"/>
      </w:pPr>
      <w:r>
        <w:tab/>
      </w:r>
      <w:r w:rsidR="00340212">
        <w:t xml:space="preserve">  </w:t>
      </w:r>
      <w:r w:rsidRPr="00FE0D30">
        <w:t>(6)</w:t>
      </w:r>
      <w:r w:rsidRPr="00FE0D30">
        <w:tab/>
        <w:t>deliberates on findings</w:t>
      </w:r>
    </w:p>
    <w:p w:rsidR="00FE0D30" w:rsidRPr="00FE0D30" w:rsidRDefault="00FE0D30" w:rsidP="00436D6E">
      <w:pPr>
        <w:pStyle w:val="QAsub"/>
      </w:pPr>
      <w:r>
        <w:tab/>
      </w:r>
      <w:r w:rsidR="00340212">
        <w:t xml:space="preserve">  </w:t>
      </w:r>
      <w:r w:rsidRPr="00FE0D30">
        <w:t>(7)</w:t>
      </w:r>
      <w:r w:rsidRPr="00FE0D30">
        <w:tab/>
        <w:t>issues Exposure Draft</w:t>
      </w:r>
    </w:p>
    <w:p w:rsidR="00FE0D30" w:rsidRPr="00FE0D30" w:rsidRDefault="00FE0D30" w:rsidP="00436D6E">
      <w:pPr>
        <w:pStyle w:val="QAsub"/>
      </w:pPr>
      <w:r>
        <w:tab/>
      </w:r>
      <w:r w:rsidR="00340212">
        <w:t xml:space="preserve">  </w:t>
      </w:r>
      <w:r w:rsidRPr="00FE0D30">
        <w:t>(8)</w:t>
      </w:r>
      <w:r w:rsidRPr="00FE0D30">
        <w:tab/>
        <w:t>holds public hearings</w:t>
      </w:r>
    </w:p>
    <w:p w:rsidR="00FE0D30" w:rsidRPr="00FE0D30" w:rsidRDefault="00FE0D30" w:rsidP="00436D6E">
      <w:pPr>
        <w:pStyle w:val="QAsub"/>
      </w:pPr>
      <w:r>
        <w:tab/>
      </w:r>
      <w:r w:rsidR="00340212">
        <w:t xml:space="preserve">  </w:t>
      </w:r>
      <w:r w:rsidRPr="00FE0D30">
        <w:t>(9)</w:t>
      </w:r>
      <w:r w:rsidRPr="00FE0D30">
        <w:tab/>
        <w:t>modifies Exposure Draft</w:t>
      </w:r>
    </w:p>
    <w:p w:rsidR="00FE0D30" w:rsidRPr="00FE0D30" w:rsidRDefault="00FE0D30" w:rsidP="00436D6E">
      <w:pPr>
        <w:pStyle w:val="QAsub"/>
      </w:pPr>
      <w:r>
        <w:tab/>
      </w:r>
      <w:r w:rsidRPr="00FE0D30">
        <w:t>(10)</w:t>
      </w:r>
      <w:r w:rsidRPr="00FE0D30">
        <w:tab/>
        <w:t>votes</w:t>
      </w:r>
    </w:p>
    <w:p w:rsidR="00FE0D30" w:rsidRDefault="00FE0D30" w:rsidP="002A7F60">
      <w:pPr>
        <w:pStyle w:val="6pt"/>
      </w:pPr>
    </w:p>
    <w:p w:rsidR="0060228C" w:rsidRDefault="00FE0D30" w:rsidP="0060228C">
      <w:pPr>
        <w:pStyle w:val="QA"/>
        <w:rPr>
          <w:szCs w:val="20"/>
        </w:rPr>
      </w:pPr>
      <w:r>
        <w:rPr>
          <w:szCs w:val="20"/>
        </w:rPr>
        <w:tab/>
        <w:t xml:space="preserve">After a super-majority vote (five votes out of seven) is attained, the </w:t>
      </w:r>
      <w:r w:rsidRPr="00AA4E34">
        <w:rPr>
          <w:szCs w:val="20"/>
        </w:rPr>
        <w:t>FASB</w:t>
      </w:r>
      <w:r>
        <w:rPr>
          <w:szCs w:val="20"/>
        </w:rPr>
        <w:t xml:space="preserve"> issues an</w:t>
      </w:r>
      <w:r w:rsidRPr="00AA4E34">
        <w:rPr>
          <w:szCs w:val="20"/>
        </w:rPr>
        <w:t xml:space="preserve"> </w:t>
      </w:r>
      <w:r w:rsidRPr="004221A3">
        <w:rPr>
          <w:i/>
          <w:szCs w:val="20"/>
        </w:rPr>
        <w:t>Accounting Standards Update</w:t>
      </w:r>
      <w:r>
        <w:rPr>
          <w:szCs w:val="20"/>
        </w:rPr>
        <w:t>.</w:t>
      </w:r>
    </w:p>
    <w:p w:rsidR="00D316BC" w:rsidRDefault="00D316BC" w:rsidP="0060228C">
      <w:pPr>
        <w:pStyle w:val="QA"/>
        <w:rPr>
          <w:szCs w:val="20"/>
          <w:u w:val="single"/>
        </w:rPr>
      </w:pPr>
    </w:p>
    <w:p w:rsidR="00AE5450" w:rsidRDefault="00FE0D30" w:rsidP="006934F4">
      <w:pPr>
        <w:pStyle w:val="QA"/>
        <w:rPr>
          <w:szCs w:val="20"/>
        </w:rPr>
      </w:pPr>
      <w:r w:rsidRPr="003A16D2">
        <w:rPr>
          <w:szCs w:val="20"/>
          <w:u w:val="single"/>
        </w:rPr>
        <w:t>1-1</w:t>
      </w:r>
      <w:r w:rsidR="00B76AFE">
        <w:rPr>
          <w:szCs w:val="20"/>
          <w:u w:val="single"/>
        </w:rPr>
        <w:t>4</w:t>
      </w:r>
      <w:r w:rsidR="00DB6794">
        <w:rPr>
          <w:szCs w:val="20"/>
        </w:rPr>
        <w:tab/>
      </w:r>
      <w:r w:rsidR="00101FA0">
        <w:rPr>
          <w:szCs w:val="20"/>
        </w:rPr>
        <w:t xml:space="preserve">The FASB and IASB are structured very similarly, in organizations that are overseen and supported by Boards of Trustees, and supported by large staffs of professional and technical experts and administrative support. Both Boards follow similar open, careful due processes in deliberating new accounting standards. Whereas the FASB is a </w:t>
      </w:r>
      <w:r w:rsidR="00B76AFE">
        <w:rPr>
          <w:szCs w:val="20"/>
        </w:rPr>
        <w:t>seven</w:t>
      </w:r>
      <w:r w:rsidR="00101FA0">
        <w:rPr>
          <w:szCs w:val="20"/>
        </w:rPr>
        <w:t>-member Board</w:t>
      </w:r>
      <w:r w:rsidR="00057702">
        <w:rPr>
          <w:szCs w:val="20"/>
        </w:rPr>
        <w:t xml:space="preserve"> consisting of only U.S. members</w:t>
      </w:r>
      <w:r w:rsidR="00101FA0">
        <w:rPr>
          <w:szCs w:val="20"/>
        </w:rPr>
        <w:t>, the IASB is larger, with</w:t>
      </w:r>
      <w:r w:rsidR="00AE5450">
        <w:rPr>
          <w:szCs w:val="20"/>
        </w:rPr>
        <w:t xml:space="preserve"> 1</w:t>
      </w:r>
      <w:r w:rsidR="00101FA0">
        <w:rPr>
          <w:szCs w:val="20"/>
        </w:rPr>
        <w:t>6</w:t>
      </w:r>
      <w:r w:rsidR="00AE5450">
        <w:rPr>
          <w:szCs w:val="20"/>
        </w:rPr>
        <w:t xml:space="preserve"> full-time members</w:t>
      </w:r>
      <w:r w:rsidR="00101FA0">
        <w:rPr>
          <w:szCs w:val="20"/>
        </w:rPr>
        <w:t xml:space="preserve">. The composition of the IASB is structured to contain representation from different countries and regions of the world. The </w:t>
      </w:r>
      <w:r w:rsidR="00AE5450">
        <w:rPr>
          <w:szCs w:val="20"/>
        </w:rPr>
        <w:t>I</w:t>
      </w:r>
      <w:r w:rsidR="00101FA0">
        <w:rPr>
          <w:szCs w:val="20"/>
        </w:rPr>
        <w:t>ASB</w:t>
      </w:r>
      <w:r w:rsidR="00AE5450">
        <w:rPr>
          <w:szCs w:val="20"/>
        </w:rPr>
        <w:t xml:space="preserve"> issues </w:t>
      </w:r>
      <w:r w:rsidR="00AE5450" w:rsidRPr="0066321C">
        <w:rPr>
          <w:i/>
          <w:szCs w:val="20"/>
        </w:rPr>
        <w:t>I</w:t>
      </w:r>
      <w:r w:rsidR="00AE5450" w:rsidRPr="009A127D">
        <w:rPr>
          <w:i/>
          <w:szCs w:val="20"/>
        </w:rPr>
        <w:t>nternational Financial Reporting Standards (IFRS)</w:t>
      </w:r>
      <w:r w:rsidR="00AE5450">
        <w:rPr>
          <w:szCs w:val="20"/>
        </w:rPr>
        <w:t xml:space="preserve">. To do so, its operating procedures include study of the topic, issuance of an Exposure Draft, evaluation of comments, and consideration of a revised draft. If approved by at least </w:t>
      </w:r>
      <w:r w:rsidR="00B76AFE">
        <w:rPr>
          <w:szCs w:val="20"/>
        </w:rPr>
        <w:t>nine</w:t>
      </w:r>
      <w:r w:rsidR="00AE5450">
        <w:rPr>
          <w:szCs w:val="20"/>
        </w:rPr>
        <w:t xml:space="preserve"> members of the IASB, the </w:t>
      </w:r>
      <w:r w:rsidR="00AE5450" w:rsidRPr="009A127D">
        <w:rPr>
          <w:i/>
          <w:szCs w:val="20"/>
        </w:rPr>
        <w:t>International Financial Reporting Standard</w:t>
      </w:r>
      <w:r w:rsidR="00AE5450">
        <w:rPr>
          <w:szCs w:val="20"/>
        </w:rPr>
        <w:t xml:space="preserve"> is issued.</w:t>
      </w:r>
    </w:p>
    <w:p w:rsidR="00DB6794" w:rsidRDefault="00DB6794" w:rsidP="006934F4">
      <w:pPr>
        <w:pStyle w:val="QA"/>
        <w:rPr>
          <w:szCs w:val="20"/>
        </w:rPr>
      </w:pPr>
    </w:p>
    <w:p w:rsidR="00AE5450" w:rsidRDefault="00DB6794" w:rsidP="006934F4">
      <w:pPr>
        <w:pStyle w:val="QA"/>
        <w:rPr>
          <w:szCs w:val="20"/>
        </w:rPr>
      </w:pPr>
      <w:r w:rsidRPr="009A493E">
        <w:rPr>
          <w:szCs w:val="20"/>
          <w:u w:val="single"/>
        </w:rPr>
        <w:t>1-</w:t>
      </w:r>
      <w:r w:rsidR="00BA61E4" w:rsidRPr="009A493E">
        <w:rPr>
          <w:szCs w:val="20"/>
          <w:u w:val="single"/>
        </w:rPr>
        <w:t>1</w:t>
      </w:r>
      <w:r w:rsidR="00B76AFE">
        <w:rPr>
          <w:szCs w:val="20"/>
          <w:u w:val="single"/>
        </w:rPr>
        <w:t>5</w:t>
      </w:r>
      <w:r>
        <w:rPr>
          <w:szCs w:val="20"/>
        </w:rPr>
        <w:tab/>
      </w:r>
      <w:r w:rsidR="00AE5450">
        <w:rPr>
          <w:szCs w:val="20"/>
        </w:rPr>
        <w:t>They are the principles, concepts, guidelines, procedures, and practices that companies from the roughly 1</w:t>
      </w:r>
      <w:r w:rsidR="00266838">
        <w:rPr>
          <w:szCs w:val="20"/>
        </w:rPr>
        <w:t>3</w:t>
      </w:r>
      <w:r w:rsidR="00AE5450">
        <w:rPr>
          <w:szCs w:val="20"/>
        </w:rPr>
        <w:t>0 countries that have adopted IFRS are required to use in recording and reporting the accounting information in audited financial statements. In the U</w:t>
      </w:r>
      <w:r w:rsidR="002F4D8F">
        <w:rPr>
          <w:szCs w:val="20"/>
        </w:rPr>
        <w:t xml:space="preserve">nited </w:t>
      </w:r>
      <w:r w:rsidR="00AE5450">
        <w:rPr>
          <w:szCs w:val="20"/>
        </w:rPr>
        <w:t>S</w:t>
      </w:r>
      <w:r w:rsidR="002F4D8F">
        <w:rPr>
          <w:szCs w:val="20"/>
        </w:rPr>
        <w:t>tates</w:t>
      </w:r>
      <w:r w:rsidR="00AE5450">
        <w:rPr>
          <w:szCs w:val="20"/>
        </w:rPr>
        <w:t>, the SEC has decided to allow non-U.S. companies that are listed in the U</w:t>
      </w:r>
      <w:r w:rsidR="002F4D8F">
        <w:rPr>
          <w:szCs w:val="20"/>
        </w:rPr>
        <w:t xml:space="preserve">nited </w:t>
      </w:r>
      <w:r w:rsidR="00AE5450">
        <w:rPr>
          <w:szCs w:val="20"/>
        </w:rPr>
        <w:t>S</w:t>
      </w:r>
      <w:r w:rsidR="002F4D8F">
        <w:rPr>
          <w:szCs w:val="20"/>
        </w:rPr>
        <w:t>tates</w:t>
      </w:r>
      <w:r w:rsidR="00AE5450">
        <w:rPr>
          <w:szCs w:val="20"/>
        </w:rPr>
        <w:t xml:space="preserve"> and subject to SEC regulation to use IFRS for preparation of financial statements filed with the SEC.</w:t>
      </w:r>
    </w:p>
    <w:p w:rsidR="00DB6794" w:rsidRDefault="00DB6794" w:rsidP="006934F4">
      <w:pPr>
        <w:pStyle w:val="QA"/>
        <w:rPr>
          <w:szCs w:val="20"/>
        </w:rPr>
      </w:pPr>
    </w:p>
    <w:p w:rsidR="00952344" w:rsidRDefault="00266838" w:rsidP="00952344">
      <w:pPr>
        <w:pStyle w:val="QA"/>
      </w:pPr>
      <w:r>
        <w:rPr>
          <w:szCs w:val="20"/>
          <w:u w:val="single"/>
        </w:rPr>
        <w:t>1-16</w:t>
      </w:r>
      <w:r>
        <w:rPr>
          <w:szCs w:val="20"/>
        </w:rPr>
        <w:tab/>
      </w:r>
      <w:r w:rsidRPr="001A1B1A">
        <w:rPr>
          <w:szCs w:val="20"/>
        </w:rPr>
        <w:t xml:space="preserve">The FASB and the IASB have </w:t>
      </w:r>
      <w:r w:rsidR="00E32354">
        <w:rPr>
          <w:szCs w:val="20"/>
        </w:rPr>
        <w:t>worked</w:t>
      </w:r>
      <w:r w:rsidRPr="001A1B1A">
        <w:rPr>
          <w:szCs w:val="20"/>
        </w:rPr>
        <w:t xml:space="preserve"> together toward convergence since the </w:t>
      </w:r>
      <w:r>
        <w:rPr>
          <w:szCs w:val="20"/>
        </w:rPr>
        <w:t>“Norwalk Agreement”</w:t>
      </w:r>
      <w:r w:rsidRPr="001A1B1A">
        <w:rPr>
          <w:szCs w:val="20"/>
        </w:rPr>
        <w:t xml:space="preserve"> </w:t>
      </w:r>
      <w:r>
        <w:rPr>
          <w:szCs w:val="20"/>
        </w:rPr>
        <w:t xml:space="preserve">in </w:t>
      </w:r>
      <w:r w:rsidRPr="001A1B1A">
        <w:rPr>
          <w:szCs w:val="20"/>
        </w:rPr>
        <w:t>2002. At that time</w:t>
      </w:r>
      <w:r w:rsidR="00B76AFE">
        <w:rPr>
          <w:szCs w:val="20"/>
        </w:rPr>
        <w:t>,</w:t>
      </w:r>
      <w:r w:rsidRPr="001A1B1A">
        <w:rPr>
          <w:szCs w:val="20"/>
        </w:rPr>
        <w:t xml:space="preserve"> the two Boards entered into </w:t>
      </w:r>
      <w:r>
        <w:rPr>
          <w:szCs w:val="20"/>
        </w:rPr>
        <w:t>this agreement to work together on</w:t>
      </w:r>
      <w:r w:rsidRPr="001A1B1A">
        <w:rPr>
          <w:szCs w:val="20"/>
        </w:rPr>
        <w:t xml:space="preserve"> the development of high-quality, compatible accounting standards that could be used for both </w:t>
      </w:r>
      <w:r>
        <w:rPr>
          <w:szCs w:val="20"/>
        </w:rPr>
        <w:t>“</w:t>
      </w:r>
      <w:r w:rsidRPr="001A1B1A">
        <w:rPr>
          <w:szCs w:val="20"/>
        </w:rPr>
        <w:t>domestic</w:t>
      </w:r>
      <w:r>
        <w:rPr>
          <w:szCs w:val="20"/>
        </w:rPr>
        <w:t>”</w:t>
      </w:r>
      <w:r w:rsidRPr="001A1B1A">
        <w:rPr>
          <w:szCs w:val="20"/>
        </w:rPr>
        <w:t xml:space="preserve"> and </w:t>
      </w:r>
      <w:r>
        <w:rPr>
          <w:szCs w:val="20"/>
        </w:rPr>
        <w:t>“</w:t>
      </w:r>
      <w:r w:rsidRPr="001A1B1A">
        <w:rPr>
          <w:szCs w:val="20"/>
        </w:rPr>
        <w:t>cross-border</w:t>
      </w:r>
      <w:r>
        <w:rPr>
          <w:szCs w:val="20"/>
        </w:rPr>
        <w:t>”</w:t>
      </w:r>
      <w:r w:rsidRPr="001A1B1A">
        <w:rPr>
          <w:szCs w:val="20"/>
        </w:rPr>
        <w:t xml:space="preserve"> financial reporting. </w:t>
      </w:r>
      <w:r w:rsidR="00952344">
        <w:rPr>
          <w:szCs w:val="20"/>
        </w:rPr>
        <w:t xml:space="preserve"> T</w:t>
      </w:r>
      <w:r w:rsidRPr="001A1B1A">
        <w:rPr>
          <w:szCs w:val="20"/>
        </w:rPr>
        <w:t xml:space="preserve">he Boards in 2009 and 2010 identified a number of major projects they </w:t>
      </w:r>
      <w:r w:rsidR="00E32354">
        <w:rPr>
          <w:szCs w:val="20"/>
        </w:rPr>
        <w:t>undertook</w:t>
      </w:r>
      <w:r w:rsidRPr="001A1B1A">
        <w:rPr>
          <w:szCs w:val="20"/>
        </w:rPr>
        <w:t xml:space="preserve"> jointly</w:t>
      </w:r>
      <w:r w:rsidR="00716618">
        <w:rPr>
          <w:szCs w:val="20"/>
        </w:rPr>
        <w:t>. The Boards have</w:t>
      </w:r>
      <w:r w:rsidR="00952344">
        <w:rPr>
          <w:szCs w:val="20"/>
        </w:rPr>
        <w:t xml:space="preserve"> </w:t>
      </w:r>
      <w:r w:rsidR="00716618">
        <w:rPr>
          <w:szCs w:val="20"/>
        </w:rPr>
        <w:t>compl</w:t>
      </w:r>
      <w:r w:rsidR="00B76AFE">
        <w:rPr>
          <w:szCs w:val="20"/>
        </w:rPr>
        <w:t>e</w:t>
      </w:r>
      <w:r w:rsidR="00716618">
        <w:rPr>
          <w:szCs w:val="20"/>
        </w:rPr>
        <w:t>te</w:t>
      </w:r>
      <w:r w:rsidR="00952344">
        <w:rPr>
          <w:szCs w:val="20"/>
        </w:rPr>
        <w:t>d most of</w:t>
      </w:r>
      <w:r w:rsidR="00716618">
        <w:rPr>
          <w:szCs w:val="20"/>
        </w:rPr>
        <w:t xml:space="preserve"> </w:t>
      </w:r>
      <w:r w:rsidR="00B76AFE">
        <w:rPr>
          <w:szCs w:val="20"/>
        </w:rPr>
        <w:t xml:space="preserve">these </w:t>
      </w:r>
      <w:r w:rsidR="00716618">
        <w:rPr>
          <w:szCs w:val="20"/>
        </w:rPr>
        <w:t>major project</w:t>
      </w:r>
      <w:r w:rsidR="00B76AFE">
        <w:rPr>
          <w:szCs w:val="20"/>
        </w:rPr>
        <w:t>s</w:t>
      </w:r>
      <w:r w:rsidR="00716618">
        <w:rPr>
          <w:szCs w:val="20"/>
        </w:rPr>
        <w:t>.</w:t>
      </w:r>
      <w:r w:rsidR="00952344">
        <w:rPr>
          <w:szCs w:val="20"/>
        </w:rPr>
        <w:t xml:space="preserve">  These joint projects have helped achieve greater convergence in accounting standard for revenue recogn</w:t>
      </w:r>
      <w:r w:rsidR="005805DB">
        <w:rPr>
          <w:szCs w:val="20"/>
        </w:rPr>
        <w:t>ition</w:t>
      </w:r>
      <w:r w:rsidR="00952344">
        <w:rPr>
          <w:szCs w:val="20"/>
        </w:rPr>
        <w:t xml:space="preserve"> (issued 2014), </w:t>
      </w:r>
      <w:r w:rsidR="00952344" w:rsidRPr="00952344">
        <w:rPr>
          <w:szCs w:val="20"/>
        </w:rPr>
        <w:t>consolidated financial statements</w:t>
      </w:r>
      <w:r w:rsidR="00952344">
        <w:rPr>
          <w:szCs w:val="20"/>
        </w:rPr>
        <w:t xml:space="preserve"> (issued 2011), </w:t>
      </w:r>
      <w:r w:rsidR="00952344" w:rsidRPr="00952344">
        <w:rPr>
          <w:szCs w:val="20"/>
        </w:rPr>
        <w:t>fair value measurement</w:t>
      </w:r>
      <w:r w:rsidR="00952344">
        <w:rPr>
          <w:szCs w:val="20"/>
        </w:rPr>
        <w:t xml:space="preserve"> (issued 2011), and </w:t>
      </w:r>
      <w:r w:rsidR="00952344" w:rsidRPr="00952344">
        <w:rPr>
          <w:szCs w:val="20"/>
        </w:rPr>
        <w:t>financial statement presentation</w:t>
      </w:r>
      <w:r w:rsidR="00952344" w:rsidRPr="00952344">
        <w:t xml:space="preserve"> (amendments to reporting comprehensive income completed in 2011; other joint work discontinued)</w:t>
      </w:r>
      <w:r w:rsidR="00952344">
        <w:t>.</w:t>
      </w:r>
    </w:p>
    <w:p w:rsidR="00952344" w:rsidRPr="00952344" w:rsidRDefault="00952344" w:rsidP="00952344">
      <w:pPr>
        <w:pStyle w:val="QA"/>
        <w:rPr>
          <w:u w:val="single"/>
        </w:rPr>
      </w:pPr>
    </w:p>
    <w:p w:rsidR="005F59DE" w:rsidRDefault="005F59DE">
      <w:pPr>
        <w:widowControl/>
        <w:autoSpaceDE/>
        <w:autoSpaceDN/>
        <w:adjustRightInd/>
        <w:rPr>
          <w:rFonts w:cs="Arial"/>
          <w:szCs w:val="20"/>
          <w:u w:val="single"/>
        </w:rPr>
      </w:pPr>
      <w:r>
        <w:rPr>
          <w:szCs w:val="20"/>
          <w:u w:val="single"/>
        </w:rPr>
        <w:br w:type="page"/>
      </w:r>
    </w:p>
    <w:p w:rsidR="001933FC" w:rsidRDefault="00DB6794" w:rsidP="006934F4">
      <w:pPr>
        <w:pStyle w:val="QA"/>
        <w:rPr>
          <w:szCs w:val="20"/>
        </w:rPr>
      </w:pPr>
      <w:r w:rsidRPr="003A16D2">
        <w:rPr>
          <w:szCs w:val="20"/>
          <w:u w:val="single"/>
        </w:rPr>
        <w:lastRenderedPageBreak/>
        <w:t>1-</w:t>
      </w:r>
      <w:r w:rsidR="00BA61E4" w:rsidRPr="003A16D2">
        <w:rPr>
          <w:szCs w:val="20"/>
          <w:u w:val="single"/>
        </w:rPr>
        <w:t>1</w:t>
      </w:r>
      <w:r w:rsidR="00B76AFE">
        <w:rPr>
          <w:szCs w:val="20"/>
          <w:u w:val="single"/>
        </w:rPr>
        <w:t>7</w:t>
      </w:r>
      <w:r>
        <w:rPr>
          <w:szCs w:val="20"/>
        </w:rPr>
        <w:tab/>
      </w:r>
      <w:r w:rsidR="000B37AC">
        <w:rPr>
          <w:szCs w:val="20"/>
        </w:rPr>
        <w:t>B</w:t>
      </w:r>
      <w:r w:rsidR="000B37AC" w:rsidRPr="000B37AC">
        <w:rPr>
          <w:szCs w:val="20"/>
        </w:rPr>
        <w:t>ecause of the substantial economic consequences of new standards, key constituents often disagree about the objectives for new standards.</w:t>
      </w:r>
      <w:r w:rsidR="00FE0D30">
        <w:rPr>
          <w:szCs w:val="20"/>
        </w:rPr>
        <w:t xml:space="preserve"> </w:t>
      </w:r>
      <w:r w:rsidR="000B37AC" w:rsidRPr="000B37AC">
        <w:rPr>
          <w:szCs w:val="20"/>
        </w:rPr>
        <w:t xml:space="preserve">Because the Boards hold public hearings and open meetings, various external user groups (e.g., investors and creditors) and other interested parties (e.g., affected corporations and CPA firms) exert pressure to influence the new standards, continue existing standards, or change existing standards in their own best interests. In addition, research results about the likely effects of new standards are sometimes conflicting, and only </w:t>
      </w:r>
      <w:r w:rsidR="00877D51">
        <w:rPr>
          <w:szCs w:val="20"/>
        </w:rPr>
        <w:t>“</w:t>
      </w:r>
      <w:r w:rsidR="000B37AC" w:rsidRPr="000B37AC">
        <w:rPr>
          <w:szCs w:val="20"/>
        </w:rPr>
        <w:t>best guesses</w:t>
      </w:r>
      <w:r w:rsidR="00877D51">
        <w:rPr>
          <w:szCs w:val="20"/>
        </w:rPr>
        <w:t>”</w:t>
      </w:r>
      <w:r w:rsidR="000B37AC" w:rsidRPr="000B37AC">
        <w:rPr>
          <w:szCs w:val="20"/>
        </w:rPr>
        <w:t xml:space="preserve"> can be made of the future consequences of current standards. A particular difficulty is that costs of complying with new standards are often significant and measurable, whereas the benefits of new information to decision makers are diffuse and hard to quantify.</w:t>
      </w:r>
      <w:r w:rsidR="000B37AC">
        <w:rPr>
          <w:szCs w:val="20"/>
        </w:rPr>
        <w:t xml:space="preserve"> </w:t>
      </w:r>
      <w:r w:rsidR="000B37AC" w:rsidRPr="000B37AC">
        <w:rPr>
          <w:szCs w:val="20"/>
        </w:rPr>
        <w:t>As a consequence, the FASB and the IASB often make decisions about new accounting standards that sometimes require compromise between conflicting views and interests.</w:t>
      </w:r>
    </w:p>
    <w:p w:rsidR="00DB6794" w:rsidRDefault="00DB6794" w:rsidP="006934F4">
      <w:pPr>
        <w:pStyle w:val="QA"/>
        <w:rPr>
          <w:szCs w:val="20"/>
        </w:rPr>
      </w:pPr>
    </w:p>
    <w:p w:rsidR="00AF608E" w:rsidRDefault="00DB6794" w:rsidP="006934F4">
      <w:pPr>
        <w:pStyle w:val="QA"/>
        <w:rPr>
          <w:szCs w:val="20"/>
        </w:rPr>
      </w:pPr>
      <w:r>
        <w:rPr>
          <w:szCs w:val="20"/>
          <w:u w:val="single"/>
        </w:rPr>
        <w:t>1-18</w:t>
      </w:r>
      <w:r>
        <w:rPr>
          <w:szCs w:val="20"/>
        </w:rPr>
        <w:tab/>
      </w:r>
      <w:r w:rsidR="00AF608E" w:rsidRPr="00AF608E">
        <w:rPr>
          <w:szCs w:val="20"/>
        </w:rPr>
        <w:t>The balance sheet, or statement of financial position, presents a snapshot of the resources of a firm (assets) and the claims on th</w:t>
      </w:r>
      <w:r w:rsidR="00283566">
        <w:rPr>
          <w:szCs w:val="20"/>
        </w:rPr>
        <w:t>e company</w:t>
      </w:r>
      <w:r w:rsidR="00AF608E" w:rsidRPr="00AF608E">
        <w:rPr>
          <w:szCs w:val="20"/>
        </w:rPr>
        <w:t xml:space="preserve"> (liabilities and shareholders</w:t>
      </w:r>
      <w:r w:rsidR="0077707C">
        <w:rPr>
          <w:szCs w:val="20"/>
        </w:rPr>
        <w:t>’</w:t>
      </w:r>
      <w:r w:rsidR="00AF608E" w:rsidRPr="00AF608E">
        <w:rPr>
          <w:szCs w:val="20"/>
        </w:rPr>
        <w:t xml:space="preserve"> equity) as of a specific date (usually the last day of the fiscal quarter or the fiscal year). The balance sheet reports the </w:t>
      </w:r>
      <w:r w:rsidR="008742B8" w:rsidRPr="00AF608E">
        <w:rPr>
          <w:szCs w:val="20"/>
        </w:rPr>
        <w:t>following equality</w:t>
      </w:r>
      <w:r w:rsidR="00AF608E" w:rsidRPr="00AF608E">
        <w:rPr>
          <w:szCs w:val="20"/>
        </w:rPr>
        <w:t>:</w:t>
      </w:r>
    </w:p>
    <w:p w:rsidR="005437B6" w:rsidRPr="00AF608E" w:rsidRDefault="005437B6" w:rsidP="005437B6">
      <w:pPr>
        <w:pStyle w:val="6pt"/>
      </w:pPr>
    </w:p>
    <w:p w:rsidR="00AF608E" w:rsidRPr="002472AF" w:rsidRDefault="00AF608E" w:rsidP="002A7F60">
      <w:pPr>
        <w:pStyle w:val="QA"/>
        <w:tabs>
          <w:tab w:val="left" w:pos="2160"/>
        </w:tabs>
        <w:rPr>
          <w:szCs w:val="20"/>
        </w:rPr>
      </w:pPr>
      <w:r w:rsidRPr="002472AF">
        <w:rPr>
          <w:szCs w:val="20"/>
        </w:rPr>
        <w:tab/>
      </w:r>
      <w:r w:rsidRPr="002472AF">
        <w:rPr>
          <w:szCs w:val="20"/>
        </w:rPr>
        <w:tab/>
        <w:t>Assets = Liabilities + Shareholders</w:t>
      </w:r>
      <w:r w:rsidR="0077707C" w:rsidRPr="002472AF">
        <w:rPr>
          <w:szCs w:val="20"/>
        </w:rPr>
        <w:t>’</w:t>
      </w:r>
      <w:r w:rsidRPr="002472AF">
        <w:rPr>
          <w:szCs w:val="20"/>
        </w:rPr>
        <w:t xml:space="preserve"> Equity</w:t>
      </w:r>
    </w:p>
    <w:p w:rsidR="002A7F60" w:rsidRDefault="002A7F60" w:rsidP="002A7F60">
      <w:pPr>
        <w:pStyle w:val="6pt"/>
      </w:pPr>
    </w:p>
    <w:p w:rsidR="00ED1FE6" w:rsidRDefault="00AF608E" w:rsidP="006934F4">
      <w:pPr>
        <w:pStyle w:val="QA"/>
        <w:rPr>
          <w:szCs w:val="20"/>
        </w:rPr>
      </w:pPr>
      <w:r>
        <w:rPr>
          <w:szCs w:val="20"/>
        </w:rPr>
        <w:tab/>
        <w:t>Most stakeholders in a company, particularly investors and creditors, will be interested in balance sheet information because it reports the financial position (resources and obligations) of the company.</w:t>
      </w:r>
    </w:p>
    <w:p w:rsidR="00DB6794" w:rsidRDefault="00DB6794" w:rsidP="006934F4">
      <w:pPr>
        <w:pStyle w:val="QA"/>
        <w:rPr>
          <w:szCs w:val="20"/>
        </w:rPr>
      </w:pPr>
    </w:p>
    <w:p w:rsidR="008742B8" w:rsidRDefault="00DB6794" w:rsidP="006934F4">
      <w:pPr>
        <w:pStyle w:val="QA"/>
        <w:rPr>
          <w:szCs w:val="20"/>
        </w:rPr>
      </w:pPr>
      <w:r>
        <w:rPr>
          <w:szCs w:val="20"/>
          <w:u w:val="single"/>
        </w:rPr>
        <w:t>1-19</w:t>
      </w:r>
      <w:r>
        <w:rPr>
          <w:szCs w:val="20"/>
        </w:rPr>
        <w:tab/>
      </w:r>
      <w:r w:rsidR="008742B8">
        <w:rPr>
          <w:szCs w:val="20"/>
        </w:rPr>
        <w:t>T</w:t>
      </w:r>
      <w:r w:rsidR="008742B8" w:rsidRPr="008742B8">
        <w:rPr>
          <w:szCs w:val="20"/>
        </w:rPr>
        <w:t>he income statement measures and reports the financial results of a firm</w:t>
      </w:r>
      <w:r w:rsidR="0077707C">
        <w:rPr>
          <w:szCs w:val="20"/>
        </w:rPr>
        <w:t>’</w:t>
      </w:r>
      <w:r w:rsidR="008742B8" w:rsidRPr="008742B8">
        <w:rPr>
          <w:szCs w:val="20"/>
        </w:rPr>
        <w:t>s performance for a period of time, usually a quarter or a year.</w:t>
      </w:r>
      <w:r w:rsidR="00FE0D30">
        <w:rPr>
          <w:szCs w:val="20"/>
        </w:rPr>
        <w:t xml:space="preserve"> </w:t>
      </w:r>
      <w:r w:rsidR="008742B8" w:rsidRPr="008742B8">
        <w:rPr>
          <w:szCs w:val="20"/>
        </w:rPr>
        <w:t>The income statement provides information about the profits (or losses) the firm has generated during the period by conducting operating, investing, and financing activities.</w:t>
      </w:r>
      <w:r w:rsidR="00FE0D30">
        <w:rPr>
          <w:szCs w:val="20"/>
        </w:rPr>
        <w:t xml:space="preserve"> </w:t>
      </w:r>
      <w:r w:rsidR="008742B8">
        <w:rPr>
          <w:szCs w:val="20"/>
        </w:rPr>
        <w:t>Most stakeholders in a company, particularly equity investors, will be interested in income statement information because it reports the profits and losses that accrue to the common equity shareholders of the company.</w:t>
      </w:r>
      <w:r w:rsidR="00FE0D30">
        <w:rPr>
          <w:szCs w:val="20"/>
        </w:rPr>
        <w:t xml:space="preserve"> </w:t>
      </w:r>
      <w:r w:rsidR="008742B8">
        <w:rPr>
          <w:szCs w:val="20"/>
        </w:rPr>
        <w:t>The chapter shows empirical research evidence on how changes in earnings are associate</w:t>
      </w:r>
      <w:r w:rsidR="002A7F60">
        <w:rPr>
          <w:szCs w:val="20"/>
        </w:rPr>
        <w:t>d with changes in stock prices.</w:t>
      </w:r>
    </w:p>
    <w:p w:rsidR="002A7F60" w:rsidRDefault="002A7F60">
      <w:pPr>
        <w:widowControl/>
        <w:autoSpaceDE/>
        <w:autoSpaceDN/>
        <w:adjustRightInd/>
        <w:rPr>
          <w:rFonts w:ascii="Arial" w:hAnsi="Arial" w:cs="Arial"/>
          <w:sz w:val="22"/>
          <w:szCs w:val="20"/>
          <w:u w:val="single"/>
        </w:rPr>
      </w:pPr>
    </w:p>
    <w:p w:rsidR="003B6C39" w:rsidRDefault="00DB6794" w:rsidP="006934F4">
      <w:pPr>
        <w:pStyle w:val="QA"/>
        <w:rPr>
          <w:szCs w:val="20"/>
        </w:rPr>
      </w:pPr>
      <w:r>
        <w:rPr>
          <w:szCs w:val="20"/>
          <w:u w:val="single"/>
        </w:rPr>
        <w:t>1-20</w:t>
      </w:r>
      <w:r>
        <w:rPr>
          <w:szCs w:val="20"/>
        </w:rPr>
        <w:tab/>
      </w:r>
      <w:r w:rsidR="003B6C39" w:rsidRPr="003B6C39">
        <w:rPr>
          <w:szCs w:val="20"/>
        </w:rPr>
        <w:t>The statement of cash flows reports for a period of time the net cash flows (inflows minus outflows) from the three principal categories of business activities: operating, investing, and financing. The purpose of the statement of cash flows is important but simple: to provide useful information about how a firm is generating and using cash. The statement of cash flows provides information to complement the income statement, demonstrating how cash flows differ from accrual-based income.</w:t>
      </w:r>
    </w:p>
    <w:p w:rsidR="0060228C" w:rsidRDefault="0060228C">
      <w:pPr>
        <w:widowControl/>
        <w:autoSpaceDE/>
        <w:autoSpaceDN/>
        <w:adjustRightInd/>
        <w:rPr>
          <w:rFonts w:cs="Arial"/>
          <w:szCs w:val="20"/>
        </w:rPr>
      </w:pPr>
    </w:p>
    <w:p w:rsidR="003B6C39" w:rsidRPr="003B6C39" w:rsidRDefault="003B6C39" w:rsidP="006934F4">
      <w:pPr>
        <w:pStyle w:val="QA"/>
        <w:rPr>
          <w:szCs w:val="20"/>
        </w:rPr>
      </w:pPr>
      <w:r>
        <w:rPr>
          <w:szCs w:val="20"/>
        </w:rPr>
        <w:tab/>
      </w:r>
      <w:r w:rsidRPr="003B6C39">
        <w:rPr>
          <w:szCs w:val="20"/>
        </w:rPr>
        <w:t>Cash flow information is very helpful to financial statement users who want to gauge how the firm is executing its strategy.</w:t>
      </w:r>
      <w:r w:rsidR="00FE0D30">
        <w:rPr>
          <w:szCs w:val="20"/>
        </w:rPr>
        <w:t xml:space="preserve"> </w:t>
      </w:r>
      <w:r w:rsidRPr="003B6C39">
        <w:rPr>
          <w:szCs w:val="20"/>
        </w:rPr>
        <w:t>The statement is particularly useful to creditors and other stakeholders with claims on future cash flows of a firm. The statement of cash flows helps them evaluate the firm</w:t>
      </w:r>
      <w:r w:rsidR="0077707C">
        <w:rPr>
          <w:szCs w:val="20"/>
        </w:rPr>
        <w:t>’</w:t>
      </w:r>
      <w:r w:rsidRPr="003B6C39">
        <w:rPr>
          <w:szCs w:val="20"/>
        </w:rPr>
        <w:t>s cash-generating ability, giving them information about the likelihood of future cash flows for future payments of their obligations.</w:t>
      </w:r>
    </w:p>
    <w:p w:rsidR="00DB6794" w:rsidRDefault="00DB6794" w:rsidP="006934F4">
      <w:pPr>
        <w:pStyle w:val="QA"/>
      </w:pPr>
    </w:p>
    <w:p w:rsidR="005F59DE" w:rsidRDefault="005F59DE">
      <w:pPr>
        <w:widowControl/>
        <w:autoSpaceDE/>
        <w:autoSpaceDN/>
        <w:adjustRightInd/>
        <w:rPr>
          <w:rFonts w:cs="Arial"/>
          <w:szCs w:val="20"/>
          <w:u w:val="single"/>
        </w:rPr>
      </w:pPr>
      <w:r>
        <w:rPr>
          <w:szCs w:val="20"/>
          <w:u w:val="single"/>
        </w:rPr>
        <w:br w:type="page"/>
      </w:r>
    </w:p>
    <w:p w:rsidR="00ED1FE6" w:rsidRDefault="00ED1FE6" w:rsidP="006934F4">
      <w:pPr>
        <w:pStyle w:val="QA"/>
        <w:rPr>
          <w:szCs w:val="20"/>
        </w:rPr>
      </w:pPr>
      <w:r>
        <w:rPr>
          <w:szCs w:val="20"/>
          <w:u w:val="single"/>
        </w:rPr>
        <w:lastRenderedPageBreak/>
        <w:t>1-21</w:t>
      </w:r>
      <w:r>
        <w:rPr>
          <w:szCs w:val="20"/>
        </w:rPr>
        <w:tab/>
      </w:r>
      <w:r w:rsidR="00EC3BC0">
        <w:rPr>
          <w:szCs w:val="20"/>
        </w:rPr>
        <w:t>T</w:t>
      </w:r>
      <w:r w:rsidR="00EC3BC0" w:rsidRPr="00EC3BC0">
        <w:rPr>
          <w:szCs w:val="20"/>
        </w:rPr>
        <w:t>he statement of shareholders</w:t>
      </w:r>
      <w:r w:rsidR="0077707C">
        <w:rPr>
          <w:szCs w:val="20"/>
        </w:rPr>
        <w:t>’</w:t>
      </w:r>
      <w:r w:rsidR="00EC3BC0" w:rsidRPr="00EC3BC0">
        <w:rPr>
          <w:szCs w:val="20"/>
        </w:rPr>
        <w:t xml:space="preserve"> equity (sometimes called the </w:t>
      </w:r>
      <w:r w:rsidR="00EC3BC0" w:rsidRPr="00EC3BC0">
        <w:rPr>
          <w:i/>
          <w:szCs w:val="20"/>
        </w:rPr>
        <w:t>statement of changes in shareholders</w:t>
      </w:r>
      <w:r w:rsidR="0077707C">
        <w:rPr>
          <w:i/>
          <w:szCs w:val="20"/>
        </w:rPr>
        <w:t>’</w:t>
      </w:r>
      <w:r w:rsidR="00EC3BC0" w:rsidRPr="00EC3BC0">
        <w:rPr>
          <w:i/>
          <w:szCs w:val="20"/>
        </w:rPr>
        <w:t xml:space="preserve"> equity</w:t>
      </w:r>
      <w:r w:rsidR="00EC3BC0" w:rsidRPr="00EC3BC0">
        <w:rPr>
          <w:szCs w:val="20"/>
        </w:rPr>
        <w:t>) provide</w:t>
      </w:r>
      <w:r w:rsidR="00EC3BC0">
        <w:rPr>
          <w:szCs w:val="20"/>
        </w:rPr>
        <w:t>s</w:t>
      </w:r>
      <w:r w:rsidR="00EC3BC0" w:rsidRPr="00EC3BC0">
        <w:rPr>
          <w:szCs w:val="20"/>
        </w:rPr>
        <w:t xml:space="preserve"> information about the common shareholders</w:t>
      </w:r>
      <w:r w:rsidR="0077707C">
        <w:rPr>
          <w:szCs w:val="20"/>
        </w:rPr>
        <w:t>’</w:t>
      </w:r>
      <w:r w:rsidR="00EC3BC0" w:rsidRPr="00EC3BC0">
        <w:rPr>
          <w:szCs w:val="20"/>
        </w:rPr>
        <w:t xml:space="preserve"> equity claims on the company, and how those claims changed during the period.</w:t>
      </w:r>
      <w:r w:rsidR="00FE0D30">
        <w:rPr>
          <w:szCs w:val="20"/>
        </w:rPr>
        <w:t xml:space="preserve"> </w:t>
      </w:r>
      <w:r w:rsidR="00EC3BC0" w:rsidRPr="00EC3BC0">
        <w:rPr>
          <w:szCs w:val="20"/>
        </w:rPr>
        <w:t>The year-end amounts reported in this statement for the various common shareholders</w:t>
      </w:r>
      <w:r w:rsidR="0077707C">
        <w:rPr>
          <w:szCs w:val="20"/>
        </w:rPr>
        <w:t>’</w:t>
      </w:r>
      <w:r w:rsidR="00EC3BC0" w:rsidRPr="00EC3BC0">
        <w:rPr>
          <w:szCs w:val="20"/>
        </w:rPr>
        <w:t xml:space="preserve"> equity accounts will match the amounts reported in the shareholders</w:t>
      </w:r>
      <w:r w:rsidR="0077707C">
        <w:rPr>
          <w:szCs w:val="20"/>
        </w:rPr>
        <w:t>’</w:t>
      </w:r>
      <w:r w:rsidR="00EC3BC0" w:rsidRPr="00EC3BC0">
        <w:rPr>
          <w:szCs w:val="20"/>
        </w:rPr>
        <w:t xml:space="preserve"> equity section of the balance sheet.</w:t>
      </w:r>
      <w:r w:rsidR="00FE0D30">
        <w:rPr>
          <w:szCs w:val="20"/>
        </w:rPr>
        <w:t xml:space="preserve"> </w:t>
      </w:r>
      <w:r w:rsidR="00EC3BC0">
        <w:rPr>
          <w:szCs w:val="20"/>
        </w:rPr>
        <w:t>Equity investors will be particularly interested in the information in this statement.</w:t>
      </w:r>
    </w:p>
    <w:p w:rsidR="00ED1FE6" w:rsidRDefault="00ED1FE6" w:rsidP="006934F4">
      <w:pPr>
        <w:pStyle w:val="QA"/>
      </w:pPr>
    </w:p>
    <w:p w:rsidR="00ED1FE6" w:rsidRDefault="00ED1FE6" w:rsidP="006934F4">
      <w:pPr>
        <w:pStyle w:val="QA"/>
        <w:rPr>
          <w:szCs w:val="20"/>
        </w:rPr>
      </w:pPr>
      <w:r>
        <w:rPr>
          <w:szCs w:val="20"/>
          <w:u w:val="single"/>
        </w:rPr>
        <w:t>1-22</w:t>
      </w:r>
      <w:r>
        <w:rPr>
          <w:szCs w:val="20"/>
        </w:rPr>
        <w:tab/>
      </w:r>
      <w:r w:rsidR="00A0185C" w:rsidRPr="00A0185C">
        <w:rPr>
          <w:szCs w:val="20"/>
        </w:rPr>
        <w:t>A firm</w:t>
      </w:r>
      <w:r w:rsidR="0077707C">
        <w:rPr>
          <w:szCs w:val="20"/>
        </w:rPr>
        <w:t>’</w:t>
      </w:r>
      <w:r w:rsidR="00A0185C" w:rsidRPr="00A0185C">
        <w:rPr>
          <w:szCs w:val="20"/>
        </w:rPr>
        <w:t>s accounting system records the results of transactions, events, and commercial arrangements and generates the financial statements, but the financial statements do not stand alone. To provide more relevant and representationally faithful information for financial statement users, firms typically provide a substantial amount of important additional information with the financial statements, including the Notes, Management Discussion and Analysis, and Managers</w:t>
      </w:r>
      <w:r w:rsidR="0077707C">
        <w:rPr>
          <w:szCs w:val="20"/>
        </w:rPr>
        <w:t>’</w:t>
      </w:r>
      <w:r w:rsidR="00A0185C" w:rsidRPr="00A0185C">
        <w:rPr>
          <w:szCs w:val="20"/>
        </w:rPr>
        <w:t xml:space="preserve"> and Independent Auditors</w:t>
      </w:r>
      <w:r w:rsidR="0077707C">
        <w:rPr>
          <w:szCs w:val="20"/>
        </w:rPr>
        <w:t>’</w:t>
      </w:r>
      <w:r w:rsidR="00A0185C" w:rsidRPr="00A0185C">
        <w:rPr>
          <w:szCs w:val="20"/>
        </w:rPr>
        <w:t xml:space="preserve"> Attestations.</w:t>
      </w:r>
      <w:r w:rsidR="00FE0D30">
        <w:rPr>
          <w:szCs w:val="20"/>
        </w:rPr>
        <w:t xml:space="preserve"> </w:t>
      </w:r>
      <w:r w:rsidR="00A0185C">
        <w:rPr>
          <w:szCs w:val="20"/>
        </w:rPr>
        <w:t>The notes to the statements explain the methods, assumptions, and estimates the firm has used in measuring and reporting the accounting informati</w:t>
      </w:r>
      <w:r w:rsidR="002A7F60">
        <w:rPr>
          <w:szCs w:val="20"/>
        </w:rPr>
        <w:t>on in the financial statements.</w:t>
      </w:r>
    </w:p>
    <w:p w:rsidR="00ED1FE6" w:rsidRDefault="00ED1FE6" w:rsidP="006934F4">
      <w:pPr>
        <w:pStyle w:val="QA"/>
      </w:pPr>
    </w:p>
    <w:p w:rsidR="00ED1FE6" w:rsidRDefault="00ED1FE6" w:rsidP="006934F4">
      <w:pPr>
        <w:pStyle w:val="QA"/>
        <w:rPr>
          <w:szCs w:val="20"/>
        </w:rPr>
      </w:pPr>
      <w:r>
        <w:rPr>
          <w:szCs w:val="20"/>
          <w:u w:val="single"/>
        </w:rPr>
        <w:t>1-23</w:t>
      </w:r>
      <w:r>
        <w:rPr>
          <w:szCs w:val="20"/>
        </w:rPr>
        <w:tab/>
      </w:r>
      <w:r w:rsidR="00A0185C" w:rsidRPr="00A0185C">
        <w:rPr>
          <w:szCs w:val="20"/>
        </w:rPr>
        <w:t xml:space="preserve">To illustrate the striking links between accounting earnings and stock returns, </w:t>
      </w:r>
      <w:r w:rsidR="00A0185C">
        <w:rPr>
          <w:szCs w:val="20"/>
        </w:rPr>
        <w:t xml:space="preserve">the chapter provides a brief discussion of </w:t>
      </w:r>
      <w:r w:rsidR="00A0185C" w:rsidRPr="00A0185C">
        <w:rPr>
          <w:szCs w:val="20"/>
        </w:rPr>
        <w:t>the results from empirical research by D. Craig Nichols and James Wahlen. They studied the average cumulative market-adjusted stock returns generated by firms during the 12 months leading up to and including the month in which each firm announced annual earnings numbers. For a sample of 31,923 firm-years between 1988 and 2001, they found that the average firm that announced an increase in earnings (over the prior year</w:t>
      </w:r>
      <w:r w:rsidR="0077707C">
        <w:rPr>
          <w:szCs w:val="20"/>
        </w:rPr>
        <w:t>’</w:t>
      </w:r>
      <w:r w:rsidR="00A0185C" w:rsidRPr="00A0185C">
        <w:rPr>
          <w:szCs w:val="20"/>
        </w:rPr>
        <w:t>s earnings) experienced stock returns that beat market average returns by roughly 19.2 percent. On the other hand, the average firm that announced a decrease in earnings experienced stock returns that were roughly 16.4 percent lower than the market average. Their results suggest that merely the sign of the change in earnings was associated with a 35.6 percent stock return differential in one year, on average, over their sample period.</w:t>
      </w:r>
      <w:r w:rsidR="00A0185C" w:rsidRPr="00A0185C">
        <w:rPr>
          <w:rFonts w:ascii="Times" w:hAnsi="Times"/>
          <w:sz w:val="24"/>
        </w:rPr>
        <w:t xml:space="preserve"> </w:t>
      </w:r>
      <w:r w:rsidR="00A0185C" w:rsidRPr="00A0185C">
        <w:rPr>
          <w:szCs w:val="20"/>
        </w:rPr>
        <w:t xml:space="preserve">The results show that </w:t>
      </w:r>
      <w:r w:rsidR="00A0185C">
        <w:rPr>
          <w:szCs w:val="20"/>
        </w:rPr>
        <w:t xml:space="preserve">earnings information has important economic consequences, because </w:t>
      </w:r>
      <w:r w:rsidR="00A0185C" w:rsidRPr="00A0185C">
        <w:rPr>
          <w:szCs w:val="20"/>
        </w:rPr>
        <w:t>changes in earnings are strongly associated with significant changes in share prices.</w:t>
      </w:r>
    </w:p>
    <w:p w:rsidR="00ED1FE6" w:rsidRDefault="00ED1FE6" w:rsidP="006934F4">
      <w:pPr>
        <w:pStyle w:val="QA"/>
        <w:rPr>
          <w:szCs w:val="20"/>
          <w:u w:val="single"/>
        </w:rPr>
      </w:pPr>
    </w:p>
    <w:p w:rsidR="002432E7" w:rsidRPr="002432E7" w:rsidRDefault="00ED1FE6" w:rsidP="006934F4">
      <w:pPr>
        <w:pStyle w:val="QA"/>
        <w:rPr>
          <w:szCs w:val="20"/>
        </w:rPr>
      </w:pPr>
      <w:r>
        <w:rPr>
          <w:szCs w:val="20"/>
          <w:u w:val="single"/>
        </w:rPr>
        <w:t>1-24</w:t>
      </w:r>
      <w:r>
        <w:rPr>
          <w:szCs w:val="20"/>
        </w:rPr>
        <w:tab/>
      </w:r>
      <w:r w:rsidR="002432E7" w:rsidRPr="002432E7">
        <w:rPr>
          <w:szCs w:val="20"/>
        </w:rPr>
        <w:t>As accountants, we create valuable financial information that stakeholders use to make informed resource allocation decisions about companies. Accounting information triggers substantial economic consequences for a wide array of different stakeholders in a company. Because accounting information has such important consequences for so many different stakeholders, being an accountant requires the ability to bear this great responsibility while behaving ethically.</w:t>
      </w:r>
    </w:p>
    <w:p w:rsidR="0060228C" w:rsidRDefault="0060228C">
      <w:pPr>
        <w:widowControl/>
        <w:autoSpaceDE/>
        <w:autoSpaceDN/>
        <w:adjustRightInd/>
        <w:rPr>
          <w:rFonts w:cs="Arial"/>
          <w:szCs w:val="20"/>
          <w:u w:val="single"/>
        </w:rPr>
      </w:pPr>
    </w:p>
    <w:p w:rsidR="0087266A" w:rsidRDefault="00ED1FE6" w:rsidP="006934F4">
      <w:pPr>
        <w:pStyle w:val="QA"/>
        <w:rPr>
          <w:szCs w:val="20"/>
        </w:rPr>
      </w:pPr>
      <w:r>
        <w:rPr>
          <w:szCs w:val="20"/>
          <w:u w:val="single"/>
        </w:rPr>
        <w:t>1-25</w:t>
      </w:r>
      <w:r>
        <w:rPr>
          <w:szCs w:val="20"/>
        </w:rPr>
        <w:tab/>
      </w:r>
      <w:r w:rsidR="0087266A">
        <w:rPr>
          <w:szCs w:val="20"/>
        </w:rPr>
        <w:t xml:space="preserve">The </w:t>
      </w:r>
      <w:r w:rsidR="0087266A" w:rsidRPr="00FC6951">
        <w:rPr>
          <w:i/>
          <w:szCs w:val="20"/>
        </w:rPr>
        <w:t>Code of Professional Conduct</w:t>
      </w:r>
      <w:r w:rsidR="0087266A">
        <w:rPr>
          <w:szCs w:val="20"/>
        </w:rPr>
        <w:t xml:space="preserve"> is a document published by the AICPA to help guide members in public practice, industry, government, and education in performing their responsibilities in an ethical and professional manner.</w:t>
      </w:r>
      <w:r w:rsidR="00FE0D30">
        <w:rPr>
          <w:szCs w:val="20"/>
        </w:rPr>
        <w:t xml:space="preserve"> </w:t>
      </w:r>
      <w:r w:rsidR="0087266A">
        <w:rPr>
          <w:szCs w:val="20"/>
        </w:rPr>
        <w:t>The six areas covered by the Principles include:</w:t>
      </w:r>
      <w:r w:rsidR="00FE0D30">
        <w:rPr>
          <w:szCs w:val="20"/>
        </w:rPr>
        <w:t xml:space="preserve"> </w:t>
      </w:r>
      <w:r w:rsidR="0087266A">
        <w:rPr>
          <w:szCs w:val="20"/>
        </w:rPr>
        <w:t>(1) responsibilities, (2) public interest, (3)</w:t>
      </w:r>
      <w:r w:rsidR="00E230D4">
        <w:rPr>
          <w:szCs w:val="20"/>
        </w:rPr>
        <w:t xml:space="preserve"> </w:t>
      </w:r>
      <w:r w:rsidR="0087266A">
        <w:rPr>
          <w:szCs w:val="20"/>
        </w:rPr>
        <w:t>integrity, (4) objectivity and independence, (5) due care, and (6)</w:t>
      </w:r>
      <w:r w:rsidR="00E230D4">
        <w:rPr>
          <w:szCs w:val="20"/>
        </w:rPr>
        <w:t xml:space="preserve"> </w:t>
      </w:r>
      <w:r w:rsidR="0087266A">
        <w:rPr>
          <w:szCs w:val="20"/>
        </w:rPr>
        <w:t>scope and nature of services.</w:t>
      </w:r>
    </w:p>
    <w:p w:rsidR="009B2C46" w:rsidRDefault="009B2C46">
      <w:pPr>
        <w:widowControl/>
        <w:autoSpaceDE/>
        <w:autoSpaceDN/>
        <w:adjustRightInd/>
        <w:rPr>
          <w:rFonts w:cs="Arial"/>
          <w:szCs w:val="20"/>
          <w:u w:val="single"/>
        </w:rPr>
      </w:pPr>
    </w:p>
    <w:p w:rsidR="008C0D15" w:rsidRDefault="008C0D15">
      <w:pPr>
        <w:widowControl/>
        <w:autoSpaceDE/>
        <w:autoSpaceDN/>
        <w:adjustRightInd/>
        <w:rPr>
          <w:rFonts w:cs="Arial"/>
          <w:szCs w:val="22"/>
          <w:u w:val="single"/>
        </w:rPr>
      </w:pPr>
    </w:p>
    <w:p w:rsidR="005F59DE" w:rsidRDefault="005F59DE">
      <w:pPr>
        <w:widowControl/>
        <w:autoSpaceDE/>
        <w:autoSpaceDN/>
        <w:adjustRightInd/>
        <w:rPr>
          <w:rFonts w:cs="Arial"/>
          <w:szCs w:val="22"/>
          <w:u w:val="single"/>
        </w:rPr>
      </w:pPr>
      <w:r>
        <w:br w:type="page"/>
      </w:r>
    </w:p>
    <w:p w:rsidR="00A02308" w:rsidRPr="008C0D15" w:rsidRDefault="00A02308" w:rsidP="00A02308">
      <w:pPr>
        <w:pStyle w:val="SubHeading"/>
      </w:pPr>
      <w:r w:rsidRPr="008C0D15">
        <w:lastRenderedPageBreak/>
        <w:t>SOLUTION TO EXERCISE</w:t>
      </w:r>
    </w:p>
    <w:p w:rsidR="00A02308" w:rsidRPr="008C0D15" w:rsidRDefault="00A02308" w:rsidP="00EC3611">
      <w:pPr>
        <w:pStyle w:val="CaseAnswerHead"/>
        <w:rPr>
          <w:b w:val="0"/>
          <w:u w:val="single"/>
        </w:rPr>
      </w:pPr>
    </w:p>
    <w:p w:rsidR="00C51FA6" w:rsidRPr="00EC3611" w:rsidRDefault="00EC3611" w:rsidP="00EC3611">
      <w:pPr>
        <w:pStyle w:val="CaseAnswerHead"/>
        <w:rPr>
          <w:u w:val="single"/>
        </w:rPr>
      </w:pPr>
      <w:r w:rsidRPr="00EC3611">
        <w:rPr>
          <w:u w:val="single"/>
        </w:rPr>
        <w:t>E1-1</w:t>
      </w:r>
    </w:p>
    <w:p w:rsidR="00C51FA6" w:rsidRDefault="00C51FA6" w:rsidP="008C0D15">
      <w:pPr>
        <w:pStyle w:val="text"/>
        <w:tabs>
          <w:tab w:val="left" w:pos="2880"/>
          <w:tab w:val="left" w:pos="3600"/>
          <w:tab w:val="left" w:pos="5040"/>
          <w:tab w:val="left" w:pos="5670"/>
          <w:tab w:val="left" w:pos="7200"/>
          <w:tab w:val="left" w:pos="7920"/>
        </w:tabs>
        <w:rPr>
          <w:szCs w:val="20"/>
        </w:rPr>
      </w:pPr>
    </w:p>
    <w:p w:rsidR="005F59DE" w:rsidRDefault="00A02308" w:rsidP="00340212">
      <w:pPr>
        <w:pStyle w:val="text"/>
        <w:tabs>
          <w:tab w:val="clear" w:pos="720"/>
          <w:tab w:val="left" w:pos="540"/>
          <w:tab w:val="left" w:pos="1440"/>
          <w:tab w:val="left" w:pos="1980"/>
          <w:tab w:val="left" w:pos="2880"/>
          <w:tab w:val="left" w:pos="3420"/>
          <w:tab w:val="left" w:pos="4320"/>
          <w:tab w:val="left" w:pos="4860"/>
          <w:tab w:val="left" w:pos="5760"/>
          <w:tab w:val="left" w:pos="6300"/>
          <w:tab w:val="left" w:pos="7200"/>
          <w:tab w:val="left" w:pos="7740"/>
          <w:tab w:val="left" w:pos="8640"/>
          <w:tab w:val="left" w:pos="9180"/>
        </w:tabs>
        <w:rPr>
          <w:szCs w:val="20"/>
        </w:rPr>
      </w:pPr>
      <w:r>
        <w:rPr>
          <w:szCs w:val="20"/>
        </w:rPr>
        <w:t>1.</w:t>
      </w:r>
      <w:r>
        <w:rPr>
          <w:szCs w:val="20"/>
        </w:rPr>
        <w:tab/>
      </w:r>
      <w:r w:rsidR="00597574">
        <w:rPr>
          <w:szCs w:val="20"/>
        </w:rPr>
        <w:t>e</w:t>
      </w:r>
      <w:r w:rsidR="00340212">
        <w:rPr>
          <w:szCs w:val="20"/>
        </w:rPr>
        <w:tab/>
      </w:r>
      <w:r>
        <w:rPr>
          <w:szCs w:val="20"/>
        </w:rPr>
        <w:t>2.</w:t>
      </w:r>
      <w:r>
        <w:rPr>
          <w:szCs w:val="20"/>
        </w:rPr>
        <w:tab/>
      </w:r>
      <w:r w:rsidR="00340212">
        <w:rPr>
          <w:szCs w:val="20"/>
        </w:rPr>
        <w:t>c</w:t>
      </w:r>
      <w:r w:rsidR="00340212">
        <w:rPr>
          <w:szCs w:val="20"/>
        </w:rPr>
        <w:tab/>
      </w:r>
      <w:r w:rsidR="005F59DE">
        <w:rPr>
          <w:szCs w:val="20"/>
        </w:rPr>
        <w:t>3.</w:t>
      </w:r>
      <w:r w:rsidR="005F59DE">
        <w:rPr>
          <w:szCs w:val="20"/>
        </w:rPr>
        <w:tab/>
      </w:r>
      <w:r w:rsidR="00340212">
        <w:rPr>
          <w:szCs w:val="20"/>
        </w:rPr>
        <w:t>b</w:t>
      </w:r>
      <w:r w:rsidR="00340212">
        <w:rPr>
          <w:szCs w:val="20"/>
        </w:rPr>
        <w:tab/>
      </w:r>
      <w:r w:rsidR="005F59DE">
        <w:rPr>
          <w:szCs w:val="20"/>
        </w:rPr>
        <w:t>4.</w:t>
      </w:r>
      <w:r w:rsidR="005F59DE">
        <w:rPr>
          <w:szCs w:val="20"/>
        </w:rPr>
        <w:tab/>
      </w:r>
      <w:r w:rsidR="00340212">
        <w:rPr>
          <w:szCs w:val="20"/>
        </w:rPr>
        <w:t>d</w:t>
      </w:r>
      <w:r w:rsidR="00340212">
        <w:rPr>
          <w:szCs w:val="20"/>
        </w:rPr>
        <w:tab/>
      </w:r>
      <w:r w:rsidR="005F59DE">
        <w:rPr>
          <w:szCs w:val="20"/>
        </w:rPr>
        <w:t>5.</w:t>
      </w:r>
      <w:r w:rsidR="005F59DE">
        <w:rPr>
          <w:szCs w:val="20"/>
        </w:rPr>
        <w:tab/>
      </w:r>
      <w:r w:rsidR="00340212">
        <w:rPr>
          <w:szCs w:val="20"/>
        </w:rPr>
        <w:t>f</w:t>
      </w:r>
      <w:r w:rsidR="00340212">
        <w:rPr>
          <w:szCs w:val="20"/>
        </w:rPr>
        <w:tab/>
      </w:r>
      <w:r w:rsidR="005F59DE">
        <w:rPr>
          <w:szCs w:val="20"/>
        </w:rPr>
        <w:t>6.</w:t>
      </w:r>
      <w:r w:rsidR="005F59DE">
        <w:rPr>
          <w:szCs w:val="20"/>
        </w:rPr>
        <w:tab/>
      </w:r>
      <w:r w:rsidR="00340212">
        <w:rPr>
          <w:szCs w:val="20"/>
        </w:rPr>
        <w:t>a</w:t>
      </w:r>
      <w:r w:rsidR="00340212">
        <w:rPr>
          <w:szCs w:val="20"/>
        </w:rPr>
        <w:tab/>
      </w:r>
      <w:r w:rsidR="005F59DE">
        <w:rPr>
          <w:szCs w:val="20"/>
        </w:rPr>
        <w:t>7.</w:t>
      </w:r>
      <w:r w:rsidR="005F59DE">
        <w:rPr>
          <w:szCs w:val="20"/>
        </w:rPr>
        <w:tab/>
        <w:t>f</w:t>
      </w:r>
    </w:p>
    <w:p w:rsidR="005F59DE" w:rsidRDefault="005F59DE">
      <w:pPr>
        <w:widowControl/>
        <w:autoSpaceDE/>
        <w:autoSpaceDN/>
        <w:adjustRightInd/>
        <w:rPr>
          <w:rFonts w:cs="Arial"/>
          <w:szCs w:val="22"/>
          <w:u w:val="single"/>
        </w:rPr>
      </w:pPr>
    </w:p>
    <w:p w:rsidR="005F59DE" w:rsidRDefault="005F59DE">
      <w:pPr>
        <w:widowControl/>
        <w:autoSpaceDE/>
        <w:autoSpaceDN/>
        <w:adjustRightInd/>
        <w:rPr>
          <w:rFonts w:cs="Arial"/>
          <w:szCs w:val="22"/>
          <w:u w:val="single"/>
        </w:rPr>
      </w:pPr>
    </w:p>
    <w:p w:rsidR="005F59DE" w:rsidRDefault="005F59DE">
      <w:pPr>
        <w:widowControl/>
        <w:autoSpaceDE/>
        <w:autoSpaceDN/>
        <w:adjustRightInd/>
        <w:rPr>
          <w:rFonts w:cs="Arial"/>
          <w:szCs w:val="22"/>
          <w:u w:val="single"/>
        </w:rPr>
      </w:pPr>
    </w:p>
    <w:p w:rsidR="00DB6794" w:rsidRPr="007756D4" w:rsidRDefault="00DB6794" w:rsidP="00A85F85">
      <w:pPr>
        <w:pStyle w:val="SubHeading"/>
      </w:pPr>
      <w:r w:rsidRPr="007756D4">
        <w:t>ANSWERS TO CASES</w:t>
      </w:r>
    </w:p>
    <w:p w:rsidR="00DB6794" w:rsidRDefault="00DB6794" w:rsidP="00E230D4">
      <w:pPr>
        <w:pStyle w:val="text"/>
      </w:pPr>
    </w:p>
    <w:p w:rsidR="00B3255F" w:rsidRPr="00762272" w:rsidRDefault="00B3255F" w:rsidP="00A85F85">
      <w:pPr>
        <w:pStyle w:val="CaseAnswerHead"/>
      </w:pPr>
      <w:r w:rsidRPr="00A85F85">
        <w:rPr>
          <w:u w:val="single"/>
        </w:rPr>
        <w:t>C1-1</w:t>
      </w:r>
      <w:r w:rsidR="007E1C70">
        <w:tab/>
      </w:r>
      <w:r w:rsidRPr="00762272">
        <w:t xml:space="preserve">[AICPA </w:t>
      </w:r>
      <w:r w:rsidR="009679DC">
        <w:t>A</w:t>
      </w:r>
      <w:r w:rsidR="005E1C80">
        <w:t>dapted]</w:t>
      </w:r>
    </w:p>
    <w:p w:rsidR="00B3255F" w:rsidRDefault="00B3255F" w:rsidP="00E230D4">
      <w:pPr>
        <w:pStyle w:val="text"/>
      </w:pPr>
    </w:p>
    <w:p w:rsidR="006A7EDD" w:rsidRDefault="00B3255F" w:rsidP="006A7EDD">
      <w:pPr>
        <w:pStyle w:val="NumList"/>
      </w:pPr>
      <w:r w:rsidRPr="00277E7A">
        <w:t>1.</w:t>
      </w:r>
      <w:r w:rsidRPr="00277E7A">
        <w:tab/>
        <w:t xml:space="preserve">The term </w:t>
      </w:r>
      <w:r w:rsidR="00877D51">
        <w:t>“</w:t>
      </w:r>
      <w:r w:rsidRPr="00277E7A">
        <w:t>accounting principles</w:t>
      </w:r>
      <w:r w:rsidR="00877D51">
        <w:t>”</w:t>
      </w:r>
      <w:r w:rsidRPr="00277E7A">
        <w:t xml:space="preserve"> in the auditor</w:t>
      </w:r>
      <w:r w:rsidR="0077707C" w:rsidRPr="00277E7A">
        <w:t>’</w:t>
      </w:r>
      <w:r w:rsidRPr="00277E7A">
        <w:t xml:space="preserve">s report includes not only accounting principles but also </w:t>
      </w:r>
      <w:r w:rsidR="001C24DC" w:rsidRPr="00277E7A">
        <w:t xml:space="preserve">concepts, </w:t>
      </w:r>
      <w:r w:rsidRPr="00277E7A">
        <w:t>practices</w:t>
      </w:r>
      <w:r w:rsidR="001E4074">
        <w:t>,</w:t>
      </w:r>
      <w:r w:rsidRPr="00277E7A">
        <w:t xml:space="preserve"> and the methods of applying them.</w:t>
      </w:r>
      <w:r w:rsidR="00FE0D30" w:rsidRPr="00277E7A">
        <w:t xml:space="preserve"> </w:t>
      </w:r>
      <w:r w:rsidR="006A7EDD">
        <w:t xml:space="preserve">The auditor's report typically refers to </w:t>
      </w:r>
      <w:r w:rsidR="00877D51">
        <w:t>“</w:t>
      </w:r>
      <w:r w:rsidR="006A7EDD">
        <w:t>accounting principles</w:t>
      </w:r>
      <w:r w:rsidR="00877D51">
        <w:t>”</w:t>
      </w:r>
      <w:r w:rsidR="006A7EDD">
        <w:t xml:space="preserve"> being applied by the firm being audited. The independent auditor's attestation as to the fairness of a company's financial statements relative to U.S. GAAP or IFRS is an essential element for the reliability of financial statements.</w:t>
      </w:r>
    </w:p>
    <w:p w:rsidR="00B3255F" w:rsidRPr="00277E7A" w:rsidRDefault="00B3255F" w:rsidP="00277E7A">
      <w:pPr>
        <w:pStyle w:val="NumList"/>
      </w:pPr>
    </w:p>
    <w:p w:rsidR="00A964C4" w:rsidRPr="00A964C4" w:rsidRDefault="00B3255F" w:rsidP="00A964C4">
      <w:pPr>
        <w:pStyle w:val="NumList"/>
        <w:rPr>
          <w:rFonts w:cs="Tahoma"/>
          <w:szCs w:val="20"/>
        </w:rPr>
      </w:pPr>
      <w:r w:rsidRPr="00A964C4">
        <w:t>2.</w:t>
      </w:r>
      <w:r w:rsidRPr="00A964C4">
        <w:tab/>
        <w:t>Generally accepted accounting principles are those principles that have substantial authoritative support.</w:t>
      </w:r>
      <w:r w:rsidR="00FE0D30" w:rsidRPr="00A964C4">
        <w:t xml:space="preserve"> </w:t>
      </w:r>
      <w:r w:rsidR="00A964C4" w:rsidRPr="00A964C4">
        <w:t xml:space="preserve">The </w:t>
      </w:r>
      <w:r w:rsidR="001C24DC" w:rsidRPr="00A964C4">
        <w:t>SEC has deemed the FASB</w:t>
      </w:r>
      <w:r w:rsidR="0077707C" w:rsidRPr="00A964C4">
        <w:t>’</w:t>
      </w:r>
      <w:r w:rsidR="001C24DC" w:rsidRPr="00A964C4">
        <w:t xml:space="preserve">s </w:t>
      </w:r>
      <w:r w:rsidR="008C041C" w:rsidRPr="00A964C4">
        <w:t xml:space="preserve">Accounting Standards </w:t>
      </w:r>
      <w:r w:rsidR="001C24DC" w:rsidRPr="00A964C4">
        <w:t>Codi</w:t>
      </w:r>
      <w:r w:rsidR="00B6384F" w:rsidRPr="00A964C4">
        <w:t>fication</w:t>
      </w:r>
      <w:r w:rsidR="001C24DC" w:rsidRPr="00A964C4">
        <w:t xml:space="preserve"> as GAAP for U.S</w:t>
      </w:r>
      <w:r w:rsidR="003858AC">
        <w:t>.</w:t>
      </w:r>
      <w:r w:rsidR="001C24DC" w:rsidRPr="00A964C4">
        <w:t xml:space="preserve"> companies. In addition, the SEC has deemed IFRS as generally accepted accounting principles for non-U.S. companies that are listed in the U</w:t>
      </w:r>
      <w:r w:rsidR="003858AC">
        <w:t xml:space="preserve">nited </w:t>
      </w:r>
      <w:r w:rsidR="001C24DC" w:rsidRPr="00A964C4">
        <w:t>S</w:t>
      </w:r>
      <w:r w:rsidR="003858AC">
        <w:t>tates.</w:t>
      </w:r>
      <w:r w:rsidR="00A964C4" w:rsidRPr="00A964C4">
        <w:t xml:space="preserve"> </w:t>
      </w:r>
      <w:r w:rsidR="00A964C4" w:rsidRPr="00A964C4">
        <w:rPr>
          <w:rFonts w:cs="Tahoma"/>
          <w:color w:val="000000"/>
          <w:szCs w:val="20"/>
        </w:rPr>
        <w:t xml:space="preserve">The FASB and the IASB follow extensive, due processes to deliberate </w:t>
      </w:r>
      <w:r w:rsidR="005F59DE">
        <w:rPr>
          <w:rFonts w:cs="Tahoma"/>
          <w:color w:val="000000"/>
          <w:szCs w:val="20"/>
        </w:rPr>
        <w:br/>
      </w:r>
      <w:r w:rsidR="00A964C4" w:rsidRPr="00A964C4">
        <w:rPr>
          <w:rFonts w:cs="Tahoma"/>
          <w:color w:val="000000"/>
          <w:szCs w:val="20"/>
        </w:rPr>
        <w:t xml:space="preserve">and develop new accounting standards that, if adopted, become </w:t>
      </w:r>
      <w:r w:rsidR="00877D51">
        <w:rPr>
          <w:rFonts w:cs="Tahoma"/>
          <w:color w:val="000000"/>
          <w:szCs w:val="20"/>
        </w:rPr>
        <w:t>“</w:t>
      </w:r>
      <w:r w:rsidR="00A964C4" w:rsidRPr="00A964C4">
        <w:rPr>
          <w:rFonts w:cs="Tahoma"/>
          <w:color w:val="000000"/>
          <w:szCs w:val="20"/>
        </w:rPr>
        <w:t>generally accepted.</w:t>
      </w:r>
      <w:r w:rsidR="00877D51">
        <w:rPr>
          <w:rFonts w:cs="Tahoma"/>
          <w:color w:val="000000"/>
          <w:szCs w:val="20"/>
        </w:rPr>
        <w:t>”</w:t>
      </w:r>
    </w:p>
    <w:p w:rsidR="00B3255F" w:rsidRPr="00A964C4" w:rsidRDefault="00B3255F" w:rsidP="00A964C4">
      <w:pPr>
        <w:pStyle w:val="NumList"/>
      </w:pPr>
    </w:p>
    <w:p w:rsidR="00DB6794" w:rsidRPr="00762272" w:rsidRDefault="00DB6794" w:rsidP="00A85F85">
      <w:pPr>
        <w:pStyle w:val="CaseAnswerHead"/>
      </w:pPr>
      <w:r w:rsidRPr="00762272">
        <w:rPr>
          <w:u w:val="single"/>
        </w:rPr>
        <w:t>C1-</w:t>
      </w:r>
      <w:r w:rsidR="00C17AD6">
        <w:rPr>
          <w:u w:val="single"/>
        </w:rPr>
        <w:t>2</w:t>
      </w:r>
      <w:r w:rsidR="00464BED">
        <w:tab/>
      </w:r>
      <w:r w:rsidR="003E28E9">
        <w:t>[</w:t>
      </w:r>
      <w:r w:rsidRPr="00762272">
        <w:t xml:space="preserve">CMA </w:t>
      </w:r>
      <w:r w:rsidR="00147EA0">
        <w:t>A</w:t>
      </w:r>
      <w:r w:rsidRPr="00762272">
        <w:t>dapted</w:t>
      </w:r>
      <w:r w:rsidR="003E28E9">
        <w:t>]</w:t>
      </w:r>
    </w:p>
    <w:p w:rsidR="00DB6794" w:rsidRDefault="00DB6794" w:rsidP="00E230D4">
      <w:pPr>
        <w:pStyle w:val="text"/>
      </w:pPr>
    </w:p>
    <w:p w:rsidR="00DB6794" w:rsidRPr="003B0FED" w:rsidRDefault="00DB6794" w:rsidP="00FA34C3">
      <w:pPr>
        <w:pStyle w:val="text"/>
      </w:pPr>
      <w:r w:rsidRPr="003B0FED">
        <w:t>Financial accounting standards inspire or encourage political action and social involvement during the standard</w:t>
      </w:r>
      <w:r w:rsidR="001E4074">
        <w:t>-</w:t>
      </w:r>
      <w:r w:rsidRPr="003B0FED">
        <w:t xml:space="preserve">setting process because the effects </w:t>
      </w:r>
      <w:r w:rsidR="008B0DC3" w:rsidRPr="003B0FED">
        <w:t xml:space="preserve">and economic consequences </w:t>
      </w:r>
      <w:r w:rsidRPr="003B0FED">
        <w:t>of accounting standards are wide-ranging and impact many varying groups.</w:t>
      </w:r>
      <w:r w:rsidR="00FE0D30" w:rsidRPr="003B0FED">
        <w:t xml:space="preserve"> </w:t>
      </w:r>
      <w:r w:rsidRPr="003B0FED">
        <w:t>The setting of accounting standards is a social decision and the user groups play a significant role and have considerable influence.</w:t>
      </w:r>
    </w:p>
    <w:p w:rsidR="00DB6794" w:rsidRPr="003B0FED" w:rsidRDefault="00DB6794" w:rsidP="00FA34C3">
      <w:pPr>
        <w:pStyle w:val="text"/>
      </w:pPr>
    </w:p>
    <w:p w:rsidR="00E21869" w:rsidRDefault="00DB6794" w:rsidP="00E21869">
      <w:pPr>
        <w:pStyle w:val="text"/>
        <w:rPr>
          <w:b/>
          <w:u w:val="single"/>
        </w:rPr>
      </w:pPr>
      <w:r w:rsidRPr="003B0FED">
        <w:t xml:space="preserve">The economic consequences of financial accounting standards inspire </w:t>
      </w:r>
      <w:r w:rsidR="00006E13" w:rsidRPr="003B0FED">
        <w:t xml:space="preserve">companies, stakeholders, and </w:t>
      </w:r>
      <w:r w:rsidRPr="003B0FED">
        <w:t>special interest groups to become vocal and critical when standards are being formulated.</w:t>
      </w:r>
      <w:r w:rsidR="00FE0D30" w:rsidRPr="003B0FED">
        <w:t xml:space="preserve"> </w:t>
      </w:r>
      <w:r w:rsidRPr="003B0FED">
        <w:t xml:space="preserve">The reporting of financial information impacts </w:t>
      </w:r>
      <w:r w:rsidR="00006E13" w:rsidRPr="003B0FED">
        <w:t>companies</w:t>
      </w:r>
      <w:r w:rsidR="0077707C" w:rsidRPr="003B0FED">
        <w:t>’</w:t>
      </w:r>
      <w:r w:rsidR="00006E13" w:rsidRPr="003B0FED">
        <w:t xml:space="preserve"> </w:t>
      </w:r>
      <w:r w:rsidRPr="003B0FED">
        <w:t xml:space="preserve">financial statements and the wealth and decision-making of </w:t>
      </w:r>
      <w:r w:rsidR="00006E13" w:rsidRPr="003B0FED">
        <w:t xml:space="preserve">stakeholders </w:t>
      </w:r>
      <w:r w:rsidRPr="003B0FED">
        <w:t>in differing ways.</w:t>
      </w:r>
      <w:r w:rsidR="00FE0D30" w:rsidRPr="003B0FED">
        <w:t xml:space="preserve"> </w:t>
      </w:r>
      <w:r w:rsidR="00006E13" w:rsidRPr="003B0FED">
        <w:t>Companies and stakeholders</w:t>
      </w:r>
      <w:r w:rsidRPr="003B0FED">
        <w:t xml:space="preserve"> may want particular economic events accounted for in particular ways and are willing to fight for what they want.</w:t>
      </w:r>
    </w:p>
    <w:p w:rsidR="0060228C" w:rsidRDefault="0060228C">
      <w:pPr>
        <w:widowControl/>
        <w:autoSpaceDE/>
        <w:autoSpaceDN/>
        <w:adjustRightInd/>
        <w:rPr>
          <w:rFonts w:cs="Arial"/>
          <w:szCs w:val="22"/>
        </w:rPr>
      </w:pPr>
    </w:p>
    <w:p w:rsidR="00DB6794" w:rsidRPr="003B0FED" w:rsidRDefault="00DB6794" w:rsidP="00FA34C3">
      <w:pPr>
        <w:pStyle w:val="text"/>
      </w:pPr>
      <w:r w:rsidRPr="003B0FED">
        <w:t>The formulation of accounting standards has political roots in the Securities and Exchange Acts of 1933 and 1934.</w:t>
      </w:r>
      <w:r w:rsidR="00FE0D30" w:rsidRPr="003B0FED">
        <w:t xml:space="preserve"> </w:t>
      </w:r>
      <w:r w:rsidRPr="003B0FED">
        <w:t>Although the SEC was vested with complete authority to define and formulate accounting standards, it has, for the most part, delegated this authority to the private sector.</w:t>
      </w:r>
      <w:r w:rsidR="00FE0D30" w:rsidRPr="003B0FED">
        <w:t xml:space="preserve"> </w:t>
      </w:r>
      <w:r w:rsidR="005F59DE">
        <w:br/>
      </w:r>
      <w:r w:rsidRPr="003B0FED">
        <w:t xml:space="preserve">The SEC supports the FASB in this endeavor and encourages its </w:t>
      </w:r>
      <w:r w:rsidR="00877D51">
        <w:t>“</w:t>
      </w:r>
      <w:r w:rsidRPr="003B0FED">
        <w:t>due process</w:t>
      </w:r>
      <w:r w:rsidR="00877D51">
        <w:t>”</w:t>
      </w:r>
      <w:r w:rsidRPr="003B0FED">
        <w:t xml:space="preserve"> system of </w:t>
      </w:r>
      <w:r w:rsidR="005F59DE">
        <w:br/>
      </w:r>
      <w:r w:rsidRPr="003B0FED">
        <w:t>standard setting.</w:t>
      </w:r>
      <w:r w:rsidR="00FE0D30" w:rsidRPr="003B0FED">
        <w:t xml:space="preserve"> </w:t>
      </w:r>
      <w:r w:rsidRPr="003B0FED">
        <w:t xml:space="preserve">Financial accounting standards issued are considered to be </w:t>
      </w:r>
      <w:r w:rsidR="00877D51">
        <w:t>“</w:t>
      </w:r>
      <w:r w:rsidRPr="003B0FED">
        <w:t>generally accepted accounting principles</w:t>
      </w:r>
      <w:r w:rsidR="00877D51">
        <w:t>”</w:t>
      </w:r>
      <w:r w:rsidRPr="003B0FED">
        <w:t xml:space="preserve"> and, as such, they must be followed in the preparation of financial statements.</w:t>
      </w:r>
      <w:r w:rsidR="00FE0D30" w:rsidRPr="003B0FED">
        <w:t xml:space="preserve"> </w:t>
      </w:r>
      <w:r w:rsidRPr="003B0FED">
        <w:t xml:space="preserve">Therefore, the formulation of standards is of vital interest to </w:t>
      </w:r>
      <w:r w:rsidR="00006E13" w:rsidRPr="003B0FED">
        <w:t>companies</w:t>
      </w:r>
      <w:r w:rsidRPr="003B0FED">
        <w:t xml:space="preserve"> responsible for </w:t>
      </w:r>
      <w:r w:rsidR="00006E13" w:rsidRPr="003B0FED">
        <w:t xml:space="preserve">preparing </w:t>
      </w:r>
      <w:r w:rsidRPr="003B0FED">
        <w:t>the financial statements</w:t>
      </w:r>
      <w:r w:rsidR="00006E13" w:rsidRPr="003B0FED">
        <w:t>, stakeholders that use the statements, and auditors</w:t>
      </w:r>
      <w:r w:rsidRPr="003B0FED">
        <w:t>.</w:t>
      </w:r>
    </w:p>
    <w:p w:rsidR="005A5C95" w:rsidRPr="005A5C95" w:rsidRDefault="005A5C95" w:rsidP="00FA34C3">
      <w:pPr>
        <w:pStyle w:val="text"/>
      </w:pPr>
    </w:p>
    <w:p w:rsidR="00DB6794" w:rsidRPr="00762272" w:rsidRDefault="00855F42" w:rsidP="00A85F85">
      <w:pPr>
        <w:pStyle w:val="CaseAnswerHead"/>
      </w:pPr>
      <w:r w:rsidRPr="003B0FED">
        <w:rPr>
          <w:u w:val="single"/>
        </w:rPr>
        <w:t>C1-</w:t>
      </w:r>
      <w:r w:rsidR="00C17AD6">
        <w:rPr>
          <w:u w:val="single"/>
        </w:rPr>
        <w:t>3</w:t>
      </w:r>
    </w:p>
    <w:p w:rsidR="00DB6794" w:rsidRDefault="00DB6794" w:rsidP="00FA34C3">
      <w:pPr>
        <w:pStyle w:val="text"/>
      </w:pPr>
    </w:p>
    <w:p w:rsidR="00DB6794" w:rsidRDefault="00DB6794" w:rsidP="00FA34C3">
      <w:pPr>
        <w:pStyle w:val="text"/>
      </w:pPr>
      <w:r>
        <w:t>The Financial Accounting Foundation is the parent organization of the FASB.</w:t>
      </w:r>
      <w:r w:rsidR="00FE0D30">
        <w:t xml:space="preserve"> </w:t>
      </w:r>
      <w:r>
        <w:t>It is governed by a 14</w:t>
      </w:r>
      <w:r w:rsidR="001E4074">
        <w:t>-</w:t>
      </w:r>
      <w:r>
        <w:t xml:space="preserve"> to 18-member Board of Trustees appointed from the memberships of eight organizations (the AICPA, Financial Executives Institute, Institute of Management Accountants, CFA Institute, American Accounting Association, Securities Industry and Financial Markets Association, Government Finance Officers Association, and National Association of State Auditors, Comptrollers, and Treasurers</w:t>
      </w:r>
      <w:r w:rsidR="00887670">
        <w:t>)</w:t>
      </w:r>
      <w:r>
        <w:t xml:space="preserve"> interested in the formulation of accounting principles.</w:t>
      </w:r>
      <w:r w:rsidR="00FE0D30">
        <w:t xml:space="preserve"> </w:t>
      </w:r>
      <w:r>
        <w:t>The primary</w:t>
      </w:r>
      <w:r w:rsidR="00855F42">
        <w:t xml:space="preserve"> </w:t>
      </w:r>
      <w:r>
        <w:t>responsibilities of the Financial Accounting Foundation are to provide general oversight to its operations and appoint the members of the Financial Accounting Standards Advisory Council (FASAC) and the FASB.</w:t>
      </w:r>
      <w:r w:rsidR="00FE0D30">
        <w:t xml:space="preserve"> </w:t>
      </w:r>
      <w:r>
        <w:t>The FASAC consists of about 33 members; it is responsible for advising the FASB about major policy issues, the priority of topics, the selection of task forces, the suitability of tentative decisions, and other matters.</w:t>
      </w:r>
    </w:p>
    <w:p w:rsidR="00DB6794" w:rsidRDefault="00DB6794" w:rsidP="00FA34C3">
      <w:pPr>
        <w:pStyle w:val="text"/>
      </w:pPr>
    </w:p>
    <w:p w:rsidR="007C0F78" w:rsidRDefault="00DB6794" w:rsidP="00FA34C3">
      <w:pPr>
        <w:pStyle w:val="text"/>
      </w:pPr>
      <w:r>
        <w:t xml:space="preserve">There are </w:t>
      </w:r>
      <w:r w:rsidR="00855F42">
        <w:t>seven</w:t>
      </w:r>
      <w:r>
        <w:t xml:space="preserve"> members of the FASB.</w:t>
      </w:r>
      <w:r w:rsidR="00FE0D30">
        <w:t xml:space="preserve"> </w:t>
      </w:r>
      <w:r>
        <w:t>Appointees to the FASB are full-time, fully paid members with no other organizational ties and are selected to represent a wide cross-section of interests.</w:t>
      </w:r>
      <w:r w:rsidR="00FE0D30">
        <w:t xml:space="preserve"> </w:t>
      </w:r>
      <w:r>
        <w:t>Each Board member is required to have a knowledge of, and experience in, accounting, finance, investing, business, and accounting education and research; high intelligence, integrity, and discipline; and a concern for the public interest regarding investing, financial accounting, and financial reporting.</w:t>
      </w:r>
      <w:r w:rsidR="00FE0D30">
        <w:t xml:space="preserve"> </w:t>
      </w:r>
      <w:r>
        <w:t>The FASB is responsible for identifying financial accounting issues, conducting research to address these issues, and resolving them.</w:t>
      </w:r>
      <w:r w:rsidR="00FE0D30">
        <w:t xml:space="preserve"> </w:t>
      </w:r>
      <w:r>
        <w:t>The FASB is supported by a research and technical staff that performs numerous functions such as researching issues, communicating with constituents, and drafting preliminary findings.</w:t>
      </w:r>
      <w:r w:rsidR="00FE0D30">
        <w:t xml:space="preserve"> </w:t>
      </w:r>
      <w:r>
        <w:t>The administrative staff assists the FASB by handling library, publications, personnel, and other activities.</w:t>
      </w:r>
    </w:p>
    <w:p w:rsidR="00DB2E5D" w:rsidRDefault="00DB2E5D" w:rsidP="00DB2E5D">
      <w:pPr>
        <w:pStyle w:val="NumList"/>
      </w:pPr>
    </w:p>
    <w:p w:rsidR="00DB6794" w:rsidRDefault="00DB6794" w:rsidP="00FA34C3">
      <w:pPr>
        <w:pStyle w:val="text"/>
      </w:pPr>
      <w:r>
        <w:t>Operating Procedures</w:t>
      </w:r>
      <w:r w:rsidR="00A047B1">
        <w:t xml:space="preserve"> and Pronouncements</w:t>
      </w:r>
      <w:r w:rsidR="003E28E9">
        <w:t xml:space="preserve">. </w:t>
      </w:r>
      <w:r>
        <w:t>Before issuing an accounting standards update, the FASB generally completes a multistage process, although the sequence and numbers of steps may vary.</w:t>
      </w:r>
      <w:r w:rsidR="00FE0D30">
        <w:t xml:space="preserve"> </w:t>
      </w:r>
      <w:r>
        <w:t>Initially, a topic or project is identified and placed on the FASB</w:t>
      </w:r>
      <w:r w:rsidR="0077707C">
        <w:t>’</w:t>
      </w:r>
      <w:r>
        <w:t>s agenda.</w:t>
      </w:r>
      <w:r w:rsidR="00FE0D30">
        <w:t xml:space="preserve"> </w:t>
      </w:r>
      <w:r>
        <w:t>This topic may be the result of suggestions from the FASAC, the accounting profession, industry, or other interested parties.</w:t>
      </w:r>
      <w:r w:rsidR="00FE0D30">
        <w:t xml:space="preserve"> </w:t>
      </w:r>
      <w:r>
        <w:t>On major issues</w:t>
      </w:r>
      <w:r w:rsidR="007F7EB6">
        <w:t>,</w:t>
      </w:r>
      <w:r>
        <w:t xml:space="preserve"> a Task Force may be appointed to advise and consult with the FASB</w:t>
      </w:r>
      <w:r w:rsidR="0077707C">
        <w:t>’</w:t>
      </w:r>
      <w:r>
        <w:t>s Research and Technical Staff on such matters as the scope of the project and the nature and extent of additional research.</w:t>
      </w:r>
      <w:r w:rsidR="00FE0D30">
        <w:t xml:space="preserve"> </w:t>
      </w:r>
      <w:r>
        <w:t>The Staff then conducts any research specifically related to the project.</w:t>
      </w:r>
    </w:p>
    <w:p w:rsidR="005F59DE" w:rsidRDefault="005F59DE">
      <w:pPr>
        <w:widowControl/>
        <w:autoSpaceDE/>
        <w:autoSpaceDN/>
        <w:adjustRightInd/>
        <w:rPr>
          <w:rFonts w:cs="Arial"/>
          <w:szCs w:val="22"/>
        </w:rPr>
      </w:pPr>
    </w:p>
    <w:p w:rsidR="00DB6794" w:rsidRDefault="00DB6794" w:rsidP="00FA34C3">
      <w:pPr>
        <w:pStyle w:val="text"/>
      </w:pPr>
      <w:r>
        <w:t>A Preliminary Views document or Invitation to Comment, which outlines the research related to the issues, is then usually published and a public comment period is set.</w:t>
      </w:r>
      <w:r w:rsidR="00FE0D30">
        <w:t xml:space="preserve"> </w:t>
      </w:r>
      <w:r>
        <w:t>During this period, public hearings, similar to those conducted by Congress, may be held.</w:t>
      </w:r>
      <w:r w:rsidR="00FE0D30">
        <w:t xml:space="preserve"> </w:t>
      </w:r>
      <w:r>
        <w:t>The intent is to receive information from and views of interested individuals and organizations on the issues.</w:t>
      </w:r>
      <w:r w:rsidR="00FE0D30">
        <w:t xml:space="preserve"> </w:t>
      </w:r>
      <w:r>
        <w:t>Many parties submit written comments (</w:t>
      </w:r>
      <w:r w:rsidR="00877D51">
        <w:t>“</w:t>
      </w:r>
      <w:r>
        <w:t>position papers</w:t>
      </w:r>
      <w:r w:rsidR="00877D51">
        <w:t>”</w:t>
      </w:r>
      <w:r>
        <w:t>) or make oral presentations.</w:t>
      </w:r>
      <w:r w:rsidR="00FE0D30">
        <w:t xml:space="preserve"> </w:t>
      </w:r>
      <w:r>
        <w:t>These parties include representatives of CPA firms and interested corporations, security analysts, members of professional accounting associations, and academicians, to name a few.</w:t>
      </w:r>
      <w:r w:rsidR="00FE0D30">
        <w:t xml:space="preserve"> </w:t>
      </w:r>
      <w:r>
        <w:t xml:space="preserve">After deliberating </w:t>
      </w:r>
      <w:r w:rsidR="00340212">
        <w:br/>
      </w:r>
      <w:r>
        <w:t>on the views expressed and information collected, the FASB issues an Exposure Draft of the proposed Accounting Standards Update.</w:t>
      </w:r>
      <w:r w:rsidR="00FE0D30">
        <w:t xml:space="preserve"> </w:t>
      </w:r>
      <w:r>
        <w:t>Interested parties generally have 30</w:t>
      </w:r>
      <w:r w:rsidR="00B12812">
        <w:t>–</w:t>
      </w:r>
      <w:r>
        <w:t>90 days to provide written comments of reaction.</w:t>
      </w:r>
      <w:r w:rsidR="00FE0D30">
        <w:t xml:space="preserve"> </w:t>
      </w:r>
      <w:r>
        <w:t>On major issues, more public hearings may be held.</w:t>
      </w:r>
      <w:r w:rsidR="00FE0D30">
        <w:t xml:space="preserve"> </w:t>
      </w:r>
      <w:r>
        <w:t xml:space="preserve">Sometimes, a </w:t>
      </w:r>
      <w:r w:rsidR="00877D51">
        <w:t>“</w:t>
      </w:r>
      <w:r>
        <w:t>field test</w:t>
      </w:r>
      <w:r w:rsidR="00877D51">
        <w:t>”</w:t>
      </w:r>
      <w:r>
        <w:t xml:space="preserve"> of the proposed standard is conducted with selected companies to evaluate implementation issues.</w:t>
      </w:r>
      <w:r w:rsidR="00FE0D30">
        <w:t xml:space="preserve"> </w:t>
      </w:r>
      <w:r>
        <w:t>A modified draft is prepared, if necessary, and brought to the FASB for a final vote.</w:t>
      </w:r>
      <w:r w:rsidR="00FE0D30">
        <w:t xml:space="preserve"> </w:t>
      </w:r>
      <w:r>
        <w:t>After</w:t>
      </w:r>
      <w:r w:rsidR="007F7EB6">
        <w:t xml:space="preserve"> a</w:t>
      </w:r>
      <w:r>
        <w:t xml:space="preserve"> </w:t>
      </w:r>
      <w:r w:rsidR="00A047B1">
        <w:t>super-</w:t>
      </w:r>
      <w:r>
        <w:t xml:space="preserve">majority vote </w:t>
      </w:r>
      <w:r w:rsidR="00A047B1">
        <w:t>(at least five of seven votes in favor)</w:t>
      </w:r>
      <w:r w:rsidR="007F7EB6">
        <w:t xml:space="preserve"> </w:t>
      </w:r>
      <w:r>
        <w:t xml:space="preserve">is attained, the </w:t>
      </w:r>
      <w:r w:rsidRPr="00554D01">
        <w:rPr>
          <w:i/>
        </w:rPr>
        <w:t>FASB Accounting Standards Update</w:t>
      </w:r>
      <w:r>
        <w:t xml:space="preserve"> is issued.</w:t>
      </w:r>
    </w:p>
    <w:p w:rsidR="005A5C95" w:rsidRDefault="005A5C95" w:rsidP="00FA34C3">
      <w:pPr>
        <w:pStyle w:val="text"/>
      </w:pPr>
    </w:p>
    <w:p w:rsidR="00340212" w:rsidRDefault="00340212">
      <w:pPr>
        <w:widowControl/>
        <w:autoSpaceDE/>
        <w:autoSpaceDN/>
        <w:adjustRightInd/>
        <w:rPr>
          <w:rFonts w:cs="Arial"/>
          <w:b/>
          <w:szCs w:val="22"/>
          <w:u w:val="single"/>
        </w:rPr>
      </w:pPr>
      <w:r>
        <w:rPr>
          <w:u w:val="single"/>
        </w:rPr>
        <w:br w:type="page"/>
      </w:r>
    </w:p>
    <w:p w:rsidR="00DB6794" w:rsidRPr="00762272" w:rsidRDefault="00DB6794" w:rsidP="00A85F85">
      <w:pPr>
        <w:pStyle w:val="CaseAnswerHead"/>
      </w:pPr>
      <w:r w:rsidRPr="00762272">
        <w:rPr>
          <w:u w:val="single"/>
        </w:rPr>
        <w:lastRenderedPageBreak/>
        <w:t>C1-</w:t>
      </w:r>
      <w:r w:rsidR="00C17AD6">
        <w:rPr>
          <w:u w:val="single"/>
        </w:rPr>
        <w:t>4</w:t>
      </w:r>
    </w:p>
    <w:p w:rsidR="003B0FED" w:rsidRDefault="003B0FED" w:rsidP="00E230D4">
      <w:pPr>
        <w:pStyle w:val="text"/>
      </w:pPr>
    </w:p>
    <w:p w:rsidR="00DB6794" w:rsidRDefault="00DB6794" w:rsidP="00E230D4">
      <w:pPr>
        <w:pStyle w:val="text"/>
      </w:pPr>
      <w:r>
        <w:t>The first five principles of the AICPA</w:t>
      </w:r>
      <w:r w:rsidR="0077707C">
        <w:t>’</w:t>
      </w:r>
      <w:r>
        <w:t xml:space="preserve">s </w:t>
      </w:r>
      <w:r w:rsidRPr="008054C8">
        <w:rPr>
          <w:i/>
        </w:rPr>
        <w:t>Code of Professional Conduct</w:t>
      </w:r>
      <w:r>
        <w:t xml:space="preserve"> are as follows:</w:t>
      </w:r>
    </w:p>
    <w:p w:rsidR="009F2A18" w:rsidRDefault="009F2A18" w:rsidP="00E230D4">
      <w:pPr>
        <w:pStyle w:val="text"/>
      </w:pPr>
    </w:p>
    <w:p w:rsidR="008D2323" w:rsidRDefault="00DB6794" w:rsidP="003B0FED">
      <w:pPr>
        <w:pStyle w:val="NumList"/>
      </w:pPr>
      <w:r>
        <w:t>1.</w:t>
      </w:r>
      <w:r>
        <w:tab/>
      </w:r>
      <w:r>
        <w:rPr>
          <w:u w:val="single"/>
        </w:rPr>
        <w:t>Responsibilities</w:t>
      </w:r>
      <w:r>
        <w:t>:</w:t>
      </w:r>
      <w:r w:rsidR="00FE0D30">
        <w:t xml:space="preserve"> </w:t>
      </w:r>
      <w:r>
        <w:t>In carrying out their responsibilities as professionals, members should exercise sensitive professional and moral judgments in all their activities.</w:t>
      </w:r>
      <w:r w:rsidR="00FE0D30">
        <w:t xml:space="preserve"> </w:t>
      </w:r>
      <w:r>
        <w:t>For example, when a member chooses a depreciation method, she must carefully analyze each alternative based upon well-defined criteria before making a final choice.</w:t>
      </w:r>
    </w:p>
    <w:p w:rsidR="00B00D3C" w:rsidRDefault="00B00D3C" w:rsidP="003B0FED">
      <w:pPr>
        <w:pStyle w:val="NumList"/>
      </w:pPr>
    </w:p>
    <w:p w:rsidR="00DB6794" w:rsidRDefault="00DB6794" w:rsidP="003B0FED">
      <w:pPr>
        <w:pStyle w:val="NumList"/>
      </w:pPr>
      <w:r>
        <w:t>2.</w:t>
      </w:r>
      <w:r>
        <w:tab/>
      </w:r>
      <w:r>
        <w:rPr>
          <w:u w:val="single"/>
        </w:rPr>
        <w:t>The Public Interest</w:t>
      </w:r>
      <w:r>
        <w:t>:</w:t>
      </w:r>
      <w:r w:rsidR="00FE0D30">
        <w:t xml:space="preserve"> </w:t>
      </w:r>
      <w:r>
        <w:t>Members should act in a way that will serve the public interest, honor the public trust, and demonstrate a commitment to professionalism.</w:t>
      </w:r>
      <w:r w:rsidR="00FE0D30">
        <w:t xml:space="preserve"> </w:t>
      </w:r>
      <w:r>
        <w:t>When a member refuses to ignore internal control deficiencies in a company with publicly traded stock, but instead enumerates these deficiencies in the Auditor</w:t>
      </w:r>
      <w:r w:rsidR="0077707C">
        <w:t>’</w:t>
      </w:r>
      <w:r>
        <w:t>s report, she is adhering to the public interest principle.</w:t>
      </w:r>
    </w:p>
    <w:p w:rsidR="00285F32" w:rsidRDefault="00285F32" w:rsidP="003B0FED">
      <w:pPr>
        <w:pStyle w:val="NumList"/>
      </w:pPr>
    </w:p>
    <w:p w:rsidR="00DB6794" w:rsidRDefault="00DB6794" w:rsidP="003B0FED">
      <w:pPr>
        <w:pStyle w:val="NumList"/>
      </w:pPr>
      <w:r>
        <w:t>3.</w:t>
      </w:r>
      <w:r>
        <w:tab/>
      </w:r>
      <w:r>
        <w:rPr>
          <w:u w:val="single"/>
        </w:rPr>
        <w:t>Integrity</w:t>
      </w:r>
      <w:r>
        <w:t>:</w:t>
      </w:r>
      <w:r w:rsidR="00FE0D30">
        <w:t xml:space="preserve"> </w:t>
      </w:r>
      <w:r>
        <w:t>To maintain and broaden public confidence, members should perform all professional responsibilities with the highest sense of integrity.</w:t>
      </w:r>
      <w:r w:rsidR="00FE0D30">
        <w:t xml:space="preserve"> </w:t>
      </w:r>
      <w:r>
        <w:t>For example, a member who carefully and conscientiously performs each step of an audit without skipping those steps that are tedious or of less interest is exercising the integrity principle.</w:t>
      </w:r>
    </w:p>
    <w:p w:rsidR="00285F32" w:rsidRDefault="00285F32" w:rsidP="003B0FED">
      <w:pPr>
        <w:pStyle w:val="NumList"/>
      </w:pPr>
    </w:p>
    <w:p w:rsidR="001F22EC" w:rsidRDefault="00DB6794" w:rsidP="008777E2">
      <w:pPr>
        <w:pStyle w:val="NumList"/>
      </w:pPr>
      <w:r>
        <w:t>4.</w:t>
      </w:r>
      <w:r>
        <w:tab/>
      </w:r>
      <w:r w:rsidRPr="002F1AD8">
        <w:rPr>
          <w:u w:val="single"/>
        </w:rPr>
        <w:t>Objectivity and Independence</w:t>
      </w:r>
      <w:r>
        <w:t>:</w:t>
      </w:r>
      <w:r w:rsidR="00FE0D30">
        <w:t xml:space="preserve"> </w:t>
      </w:r>
      <w:r>
        <w:t>A member should be objective and be free from conflicts of interest in discharging professional responsibilities.</w:t>
      </w:r>
      <w:r w:rsidR="00FE0D30">
        <w:t xml:space="preserve"> </w:t>
      </w:r>
      <w:r>
        <w:t>A member in public practice should be independent in fact and appearance when providing auditing and other attestation services.</w:t>
      </w:r>
      <w:r w:rsidR="00FE0D30">
        <w:t xml:space="preserve"> </w:t>
      </w:r>
      <w:r>
        <w:t>For example, a member who declines to audit the financial statements of the company for which his father is a marketing vice president is adhering to this principle.</w:t>
      </w:r>
    </w:p>
    <w:p w:rsidR="001F22EC" w:rsidRDefault="001F22EC" w:rsidP="008777E2">
      <w:pPr>
        <w:pStyle w:val="NumList"/>
      </w:pPr>
    </w:p>
    <w:p w:rsidR="00DB6794" w:rsidRDefault="00DB6794" w:rsidP="003B0FED">
      <w:pPr>
        <w:pStyle w:val="NumList"/>
      </w:pPr>
      <w:r>
        <w:t>5.</w:t>
      </w:r>
      <w:r>
        <w:tab/>
      </w:r>
      <w:r>
        <w:rPr>
          <w:u w:val="single"/>
        </w:rPr>
        <w:t>Due Care</w:t>
      </w:r>
      <w:r>
        <w:t>:</w:t>
      </w:r>
      <w:r w:rsidR="00FE0D30">
        <w:t xml:space="preserve"> </w:t>
      </w:r>
      <w:r>
        <w:t>A member should observe the profession</w:t>
      </w:r>
      <w:r w:rsidR="0077707C">
        <w:t>’</w:t>
      </w:r>
      <w:r>
        <w:t>s technical and ethical standards, strive continually to improve competence and the quality of standards, strive continually to improve competence and the quality of services, and discharge professional responsibility to the best of the member</w:t>
      </w:r>
      <w:r w:rsidR="0077707C">
        <w:t>’</w:t>
      </w:r>
      <w:r>
        <w:t>s ability.</w:t>
      </w:r>
      <w:r w:rsidR="00FE0D30">
        <w:t xml:space="preserve"> </w:t>
      </w:r>
      <w:r>
        <w:t>When a member reads current accounting literature and strives to employ current principles and procedures, she is exercising due care.</w:t>
      </w:r>
    </w:p>
    <w:p w:rsidR="0060228C" w:rsidRDefault="0060228C">
      <w:pPr>
        <w:widowControl/>
        <w:autoSpaceDE/>
        <w:autoSpaceDN/>
        <w:adjustRightInd/>
        <w:rPr>
          <w:rFonts w:cs="Arial"/>
          <w:b/>
          <w:szCs w:val="22"/>
          <w:u w:val="single"/>
        </w:rPr>
      </w:pPr>
    </w:p>
    <w:p w:rsidR="00B3255F" w:rsidRDefault="00B3255F" w:rsidP="00A85F85">
      <w:pPr>
        <w:pStyle w:val="CaseAnswerHead"/>
      </w:pPr>
      <w:r w:rsidRPr="00762272">
        <w:rPr>
          <w:u w:val="single"/>
        </w:rPr>
        <w:t>C1-</w:t>
      </w:r>
      <w:r w:rsidR="00C17AD6">
        <w:rPr>
          <w:u w:val="single"/>
        </w:rPr>
        <w:t>5</w:t>
      </w:r>
    </w:p>
    <w:p w:rsidR="007E1C70" w:rsidRPr="00762272" w:rsidRDefault="007E1C70" w:rsidP="00E230D4">
      <w:pPr>
        <w:pStyle w:val="text"/>
        <w:rPr>
          <w:rFonts w:cs="Times"/>
          <w:b/>
        </w:rPr>
      </w:pPr>
    </w:p>
    <w:p w:rsidR="00B3255F" w:rsidRDefault="00B3255F" w:rsidP="00E230D4">
      <w:pPr>
        <w:pStyle w:val="text"/>
      </w:pPr>
      <w:r>
        <w:t>On balance, most people would agree that it is a good idea for the FASB to allow written comments and oral presentations in which interested parties can lobby for a particular ruling.</w:t>
      </w:r>
      <w:r w:rsidR="00FE0D30">
        <w:t xml:space="preserve"> </w:t>
      </w:r>
      <w:r>
        <w:t>However, there are both pros and cons to allowing interested parties to provide input to its deliberation process.</w:t>
      </w:r>
      <w:r w:rsidR="00FE0D30">
        <w:t xml:space="preserve"> </w:t>
      </w:r>
      <w:r>
        <w:t>They include:</w:t>
      </w:r>
    </w:p>
    <w:p w:rsidR="00B3255F" w:rsidRDefault="00B3255F" w:rsidP="00E230D4">
      <w:pPr>
        <w:pStyle w:val="text"/>
      </w:pPr>
    </w:p>
    <w:p w:rsidR="00B3255F" w:rsidRDefault="00B3255F" w:rsidP="00E230D4">
      <w:pPr>
        <w:pStyle w:val="text"/>
      </w:pPr>
      <w:r>
        <w:rPr>
          <w:u w:val="single"/>
        </w:rPr>
        <w:t>Advantages</w:t>
      </w:r>
    </w:p>
    <w:p w:rsidR="00B3255F" w:rsidRDefault="00B3255F" w:rsidP="00543F15">
      <w:pPr>
        <w:pStyle w:val="textbulletedlist"/>
      </w:pPr>
      <w:r>
        <w:t>Enables FASB to get input from different perspectives</w:t>
      </w:r>
    </w:p>
    <w:p w:rsidR="00B3255F" w:rsidRDefault="00B3255F" w:rsidP="00543F15">
      <w:pPr>
        <w:pStyle w:val="textbulletedlist"/>
      </w:pPr>
      <w:r>
        <w:t>Provides users a forum to express concerns</w:t>
      </w:r>
    </w:p>
    <w:p w:rsidR="00B3255F" w:rsidRDefault="00B3255F" w:rsidP="00543F15">
      <w:pPr>
        <w:pStyle w:val="textbulletedlist"/>
      </w:pPr>
      <w:r>
        <w:t>Provides preparers a forum to express concerns</w:t>
      </w:r>
    </w:p>
    <w:p w:rsidR="00B3255F" w:rsidRDefault="00B3255F" w:rsidP="00543F15">
      <w:pPr>
        <w:pStyle w:val="textbulletedlist"/>
      </w:pPr>
      <w:r>
        <w:t>Provides auditors a forum to express concerns</w:t>
      </w:r>
    </w:p>
    <w:p w:rsidR="00B3255F" w:rsidRDefault="00B3255F" w:rsidP="00543F15">
      <w:pPr>
        <w:pStyle w:val="textbulletedlist"/>
      </w:pPr>
      <w:r>
        <w:t>Overcomes criticism of failing to listen to constituencies</w:t>
      </w:r>
    </w:p>
    <w:p w:rsidR="00B3255F" w:rsidRDefault="00B3255F" w:rsidP="00543F15">
      <w:pPr>
        <w:pStyle w:val="textbulletedlist"/>
      </w:pPr>
      <w:r>
        <w:t>Allows for consideration of views of all interested parties</w:t>
      </w:r>
    </w:p>
    <w:p w:rsidR="00B3255F" w:rsidRDefault="00B3255F" w:rsidP="00543F15">
      <w:pPr>
        <w:pStyle w:val="textbulletedlist"/>
      </w:pPr>
      <w:r>
        <w:t>Rulings appear more fair to all constituencies</w:t>
      </w:r>
    </w:p>
    <w:p w:rsidR="00745EC9" w:rsidRDefault="00745EC9" w:rsidP="00745EC9">
      <w:pPr>
        <w:pStyle w:val="CaseAnswerHead"/>
      </w:pPr>
      <w:r w:rsidRPr="0083794B">
        <w:rPr>
          <w:u w:val="single"/>
        </w:rPr>
        <w:lastRenderedPageBreak/>
        <w:t>C1-</w:t>
      </w:r>
      <w:r>
        <w:rPr>
          <w:u w:val="single"/>
        </w:rPr>
        <w:t>5</w:t>
      </w:r>
      <w:r w:rsidRPr="0083794B">
        <w:tab/>
        <w:t>(</w:t>
      </w:r>
      <w:r>
        <w:t>concluded</w:t>
      </w:r>
      <w:r w:rsidRPr="0083794B">
        <w:t>)</w:t>
      </w:r>
    </w:p>
    <w:p w:rsidR="00745EC9" w:rsidRPr="0083794B" w:rsidRDefault="00745EC9" w:rsidP="00745EC9">
      <w:pPr>
        <w:pStyle w:val="CaseAnswerHead"/>
      </w:pPr>
    </w:p>
    <w:p w:rsidR="00467B60" w:rsidRPr="00467B60" w:rsidRDefault="00B3255F" w:rsidP="00467B60">
      <w:pPr>
        <w:pStyle w:val="textbulletedlist"/>
        <w:widowControl/>
        <w:autoSpaceDE/>
        <w:autoSpaceDN/>
        <w:adjustRightInd/>
        <w:rPr>
          <w:b/>
          <w:u w:val="single"/>
        </w:rPr>
      </w:pPr>
      <w:r>
        <w:t>Rulings consider the costs and benefits of implementation</w:t>
      </w:r>
    </w:p>
    <w:p w:rsidR="00B3255F" w:rsidRDefault="00B3255F" w:rsidP="00543F15">
      <w:pPr>
        <w:pStyle w:val="textbulletedlist"/>
      </w:pPr>
      <w:r>
        <w:t>Standards are established that are the most acceptable</w:t>
      </w:r>
    </w:p>
    <w:p w:rsidR="00B3255F" w:rsidRDefault="00B3255F" w:rsidP="00543F15">
      <w:pPr>
        <w:pStyle w:val="textbulletedlist"/>
      </w:pPr>
      <w:r>
        <w:t>Allows for clarification of rules</w:t>
      </w:r>
    </w:p>
    <w:p w:rsidR="00B3255F" w:rsidRDefault="00B3255F" w:rsidP="00543F15">
      <w:pPr>
        <w:pStyle w:val="textbulletedlist"/>
      </w:pPr>
      <w:r>
        <w:t>Allows for corrections of any errors</w:t>
      </w:r>
    </w:p>
    <w:p w:rsidR="00B3255F" w:rsidRDefault="00B3255F" w:rsidP="00543F15">
      <w:pPr>
        <w:pStyle w:val="textbulletedlist"/>
      </w:pPr>
      <w:r>
        <w:t>Allows for consideration of implementation issues</w:t>
      </w:r>
    </w:p>
    <w:p w:rsidR="00B3255F" w:rsidRDefault="00B3255F" w:rsidP="00E230D4">
      <w:pPr>
        <w:pStyle w:val="text"/>
      </w:pPr>
    </w:p>
    <w:p w:rsidR="00B3255F" w:rsidRDefault="00B3255F" w:rsidP="00E230D4">
      <w:pPr>
        <w:pStyle w:val="text"/>
      </w:pPr>
      <w:r>
        <w:rPr>
          <w:u w:val="single"/>
        </w:rPr>
        <w:t>Disadvantages</w:t>
      </w:r>
    </w:p>
    <w:p w:rsidR="00B3255F" w:rsidRDefault="00B3255F" w:rsidP="00543F15">
      <w:pPr>
        <w:pStyle w:val="textbulletedlist"/>
      </w:pPr>
      <w:r>
        <w:t>Rulings sometimes appear to be biased in favor of certain user group</w:t>
      </w:r>
      <w:r w:rsidR="00FD7555">
        <w:t>s</w:t>
      </w:r>
    </w:p>
    <w:p w:rsidR="00B3255F" w:rsidRDefault="00B3255F" w:rsidP="00543F15">
      <w:pPr>
        <w:pStyle w:val="textbulletedlist"/>
      </w:pPr>
      <w:r>
        <w:t>Rulings sometimes are inconsistent with other Statements of Standards</w:t>
      </w:r>
    </w:p>
    <w:p w:rsidR="00B3255F" w:rsidRDefault="00B3255F" w:rsidP="00543F15">
      <w:pPr>
        <w:pStyle w:val="textbulletedlist"/>
      </w:pPr>
      <w:r>
        <w:t>Rulings sometimes are inconsistent with Statements of Concepts</w:t>
      </w:r>
    </w:p>
    <w:p w:rsidR="00B3255F" w:rsidRDefault="00B3255F" w:rsidP="00543F15">
      <w:pPr>
        <w:pStyle w:val="textbulletedlist"/>
      </w:pPr>
      <w:r>
        <w:t>Rulings sometimes appear illogical</w:t>
      </w:r>
    </w:p>
    <w:p w:rsidR="00B3255F" w:rsidRDefault="00B3255F" w:rsidP="00543F15">
      <w:pPr>
        <w:pStyle w:val="textbulletedlist"/>
      </w:pPr>
      <w:r>
        <w:t>FASB is too slow in establishing standards</w:t>
      </w:r>
    </w:p>
    <w:p w:rsidR="00B3255F" w:rsidRDefault="00B3255F" w:rsidP="00543F15">
      <w:pPr>
        <w:pStyle w:val="textbulletedlist"/>
      </w:pPr>
      <w:r>
        <w:t>Standards are too complex and difficult to implement</w:t>
      </w:r>
    </w:p>
    <w:p w:rsidR="00B3255F" w:rsidRDefault="00B3255F" w:rsidP="00E230D4">
      <w:pPr>
        <w:pStyle w:val="text"/>
      </w:pPr>
    </w:p>
    <w:p w:rsidR="00B3255F" w:rsidRDefault="00B3255F" w:rsidP="00A85F85">
      <w:pPr>
        <w:pStyle w:val="CaseAnswerHead"/>
      </w:pPr>
      <w:r w:rsidRPr="00762272">
        <w:rPr>
          <w:u w:val="single"/>
        </w:rPr>
        <w:t>C1-</w:t>
      </w:r>
      <w:r w:rsidR="00C17AD6">
        <w:rPr>
          <w:u w:val="single"/>
        </w:rPr>
        <w:t>6</w:t>
      </w:r>
    </w:p>
    <w:p w:rsidR="00A1025E" w:rsidRPr="00762272" w:rsidRDefault="00A1025E" w:rsidP="00E230D4">
      <w:pPr>
        <w:pStyle w:val="text"/>
        <w:rPr>
          <w:rFonts w:cs="Times"/>
          <w:b/>
        </w:rPr>
      </w:pPr>
    </w:p>
    <w:p w:rsidR="00B3255F" w:rsidRPr="008C51B0" w:rsidRDefault="00B3255F" w:rsidP="00E230D4">
      <w:pPr>
        <w:pStyle w:val="text"/>
      </w:pPr>
      <w:r w:rsidRPr="008C51B0">
        <w:t>Currently, U.S. corporations are subject to the accounting standards (called U.S. GAAP) established by the FASB, while foreign corporations are subject to international standards called IFRS (international financial reporting standards) established by the International Accounting Standards Board (IASB) or by their national accounting standards boards. These differences in accounting standards have led to differences among U.S. and foreign corporations</w:t>
      </w:r>
      <w:r w:rsidR="0077707C">
        <w:t>’</w:t>
      </w:r>
      <w:r w:rsidRPr="008C51B0">
        <w:t xml:space="preserve"> financial statements. These differences, in turn, have made it difficult for investors and creditors to make valid comparisons across corporations and to make effective buy-sell-hold decisions in the U.S. and foreign capital markets.</w:t>
      </w:r>
    </w:p>
    <w:p w:rsidR="0060228C" w:rsidRDefault="0060228C">
      <w:pPr>
        <w:widowControl/>
        <w:autoSpaceDE/>
        <w:autoSpaceDN/>
        <w:adjustRightInd/>
        <w:rPr>
          <w:rFonts w:cs="Arial"/>
          <w:szCs w:val="22"/>
        </w:rPr>
      </w:pPr>
    </w:p>
    <w:p w:rsidR="00B3255F" w:rsidRDefault="00B3255F" w:rsidP="00E230D4">
      <w:pPr>
        <w:pStyle w:val="text"/>
      </w:pPr>
      <w:r w:rsidRPr="008C51B0">
        <w:t xml:space="preserve">To overcome this problem, </w:t>
      </w:r>
      <w:r>
        <w:t>t</w:t>
      </w:r>
      <w:r w:rsidRPr="00E61798">
        <w:t xml:space="preserve">he FASB and the IASB have been working together toward convergence since the </w:t>
      </w:r>
      <w:r w:rsidR="00877D51">
        <w:t>“</w:t>
      </w:r>
      <w:r w:rsidRPr="00E61798">
        <w:t>Norwalk Agreement</w:t>
      </w:r>
      <w:r w:rsidR="00877D51">
        <w:t>”</w:t>
      </w:r>
      <w:r w:rsidRPr="00E61798">
        <w:t xml:space="preserve"> in 2002. At that time</w:t>
      </w:r>
      <w:r w:rsidR="00917BA5">
        <w:t>,</w:t>
      </w:r>
      <w:r w:rsidRPr="00E61798">
        <w:t xml:space="preserve"> the two Boards entered into this agreement to work together on the development of high-quality, compatible accounting standards that could be used for both </w:t>
      </w:r>
      <w:r w:rsidR="00877D51">
        <w:t>“</w:t>
      </w:r>
      <w:r w:rsidRPr="00E61798">
        <w:t>domestic</w:t>
      </w:r>
      <w:r w:rsidR="00877D51">
        <w:t>”</w:t>
      </w:r>
      <w:r w:rsidRPr="00E61798">
        <w:t xml:space="preserve"> and </w:t>
      </w:r>
      <w:r w:rsidR="00877D51">
        <w:t>“</w:t>
      </w:r>
      <w:r w:rsidRPr="00E61798">
        <w:t>cross-border</w:t>
      </w:r>
      <w:r w:rsidR="00877D51">
        <w:t>”</w:t>
      </w:r>
      <w:r w:rsidRPr="00E61798">
        <w:t xml:space="preserve"> financial reporting. </w:t>
      </w:r>
      <w:r w:rsidRPr="008C51B0">
        <w:t xml:space="preserve">To achieve this compatibility, the Boards agreed to work together to achieve </w:t>
      </w:r>
      <w:r w:rsidR="00877D51">
        <w:t>“</w:t>
      </w:r>
      <w:r w:rsidRPr="008C51B0">
        <w:t>short-term</w:t>
      </w:r>
      <w:r w:rsidR="00877D51">
        <w:t>”</w:t>
      </w:r>
      <w:r w:rsidRPr="008C51B0">
        <w:t xml:space="preserve"> convergence on a number of individual differences between U.S. and international accounting standards. They also agreed to coordinate their future agendas on substantial long-term projects which both Boards would address concurrently. Finally, they agreed to continue working on joint projects they were currently undertaking. This overall collaboration is sometimes referred to as the </w:t>
      </w:r>
      <w:r w:rsidRPr="00554D01">
        <w:rPr>
          <w:i/>
        </w:rPr>
        <w:t>convergence</w:t>
      </w:r>
      <w:r w:rsidRPr="008C51B0">
        <w:t xml:space="preserve"> or </w:t>
      </w:r>
      <w:r w:rsidRPr="00554D01">
        <w:rPr>
          <w:i/>
        </w:rPr>
        <w:t>harmonization</w:t>
      </w:r>
      <w:r w:rsidRPr="008C51B0">
        <w:t xml:space="preserve"> of accounting standards.</w:t>
      </w:r>
    </w:p>
    <w:p w:rsidR="0060228C" w:rsidRPr="008C51B0" w:rsidRDefault="0060228C" w:rsidP="00E230D4">
      <w:pPr>
        <w:pStyle w:val="text"/>
      </w:pPr>
    </w:p>
    <w:p w:rsidR="00716618" w:rsidRDefault="0083794B" w:rsidP="0083794B">
      <w:pPr>
        <w:pStyle w:val="QA"/>
        <w:ind w:left="0" w:firstLine="0"/>
        <w:rPr>
          <w:szCs w:val="20"/>
        </w:rPr>
      </w:pPr>
      <w:r>
        <w:t>T</w:t>
      </w:r>
      <w:r w:rsidR="00B3255F" w:rsidRPr="00E61798">
        <w:t xml:space="preserve">he Boards in 2009 and 2010 identified a number of major </w:t>
      </w:r>
      <w:r>
        <w:t xml:space="preserve">joint projects to undertake </w:t>
      </w:r>
      <w:r w:rsidR="00B3255F" w:rsidRPr="00E61798">
        <w:t>jointly, as well as short-term projects (in which convergence can occur fairly quickly).</w:t>
      </w:r>
      <w:r w:rsidR="00FE0D30">
        <w:t xml:space="preserve"> </w:t>
      </w:r>
      <w:r>
        <w:rPr>
          <w:szCs w:val="20"/>
        </w:rPr>
        <w:t xml:space="preserve">The Boards have completed most of </w:t>
      </w:r>
      <w:r w:rsidR="00716618">
        <w:rPr>
          <w:szCs w:val="20"/>
        </w:rPr>
        <w:t xml:space="preserve">their joint efforts to complete </w:t>
      </w:r>
      <w:r w:rsidR="00917BA5">
        <w:rPr>
          <w:szCs w:val="20"/>
        </w:rPr>
        <w:t xml:space="preserve">these </w:t>
      </w:r>
      <w:r w:rsidR="00716618">
        <w:rPr>
          <w:szCs w:val="20"/>
        </w:rPr>
        <w:t>major project</w:t>
      </w:r>
      <w:r w:rsidR="00917BA5">
        <w:rPr>
          <w:szCs w:val="20"/>
        </w:rPr>
        <w:t>s</w:t>
      </w:r>
      <w:r>
        <w:rPr>
          <w:szCs w:val="20"/>
        </w:rPr>
        <w:t xml:space="preserve">. The major projects the Boards have completed have achieved great convergence in </w:t>
      </w:r>
      <w:r w:rsidR="00716618" w:rsidRPr="001A1B1A">
        <w:rPr>
          <w:szCs w:val="20"/>
        </w:rPr>
        <w:t>accounting standards for:</w:t>
      </w:r>
    </w:p>
    <w:p w:rsidR="00340212" w:rsidRPr="001A1B1A" w:rsidRDefault="00340212" w:rsidP="0083794B">
      <w:pPr>
        <w:pStyle w:val="QA"/>
        <w:ind w:left="0" w:firstLine="0"/>
        <w:rPr>
          <w:szCs w:val="20"/>
        </w:rPr>
      </w:pPr>
    </w:p>
    <w:p w:rsidR="0083794B" w:rsidRDefault="0083794B" w:rsidP="0083794B">
      <w:pPr>
        <w:pStyle w:val="text"/>
        <w:numPr>
          <w:ilvl w:val="0"/>
          <w:numId w:val="21"/>
        </w:numPr>
      </w:pPr>
      <w:r>
        <w:t>Consolidated financial statements</w:t>
      </w:r>
    </w:p>
    <w:p w:rsidR="0083794B" w:rsidRDefault="0083794B" w:rsidP="0083794B">
      <w:pPr>
        <w:pStyle w:val="text"/>
        <w:numPr>
          <w:ilvl w:val="0"/>
          <w:numId w:val="21"/>
        </w:numPr>
      </w:pPr>
      <w:r>
        <w:t>Fair value measurement</w:t>
      </w:r>
    </w:p>
    <w:p w:rsidR="0083794B" w:rsidRDefault="0083794B" w:rsidP="0083794B">
      <w:pPr>
        <w:pStyle w:val="QAbullettdlist"/>
      </w:pPr>
      <w:r w:rsidRPr="00E61798">
        <w:t xml:space="preserve">Financial statement presentation </w:t>
      </w:r>
    </w:p>
    <w:p w:rsidR="00340212" w:rsidRPr="008C0D15" w:rsidRDefault="00340212" w:rsidP="00340212">
      <w:pPr>
        <w:pStyle w:val="QAbullettdlist"/>
      </w:pPr>
      <w:r>
        <w:t>Revenue recognition</w:t>
      </w:r>
    </w:p>
    <w:p w:rsidR="00745EC9" w:rsidRPr="00762272" w:rsidRDefault="00745EC9" w:rsidP="00745EC9">
      <w:pPr>
        <w:pStyle w:val="CaseAnswerHead"/>
      </w:pPr>
      <w:r w:rsidRPr="003B0FED">
        <w:rPr>
          <w:u w:val="single"/>
        </w:rPr>
        <w:lastRenderedPageBreak/>
        <w:t>C1-</w:t>
      </w:r>
      <w:r>
        <w:rPr>
          <w:u w:val="single"/>
        </w:rPr>
        <w:t>6</w:t>
      </w:r>
      <w:r w:rsidRPr="003E28E9">
        <w:tab/>
      </w:r>
      <w:r>
        <w:t>(continued)</w:t>
      </w:r>
    </w:p>
    <w:p w:rsidR="0060228C" w:rsidRDefault="0060228C" w:rsidP="00E230D4">
      <w:pPr>
        <w:pStyle w:val="text"/>
      </w:pPr>
    </w:p>
    <w:p w:rsidR="004A3168" w:rsidRDefault="0083794B" w:rsidP="0083794B">
      <w:pPr>
        <w:pStyle w:val="text"/>
      </w:pPr>
      <w:r w:rsidRPr="0083794B">
        <w:t>Moving forward, the FASB will continue to work on global accounting issues with the IASB through its membership in the Accounting Standards Advisory Forum (ASAF), a newly established advisory body comprising twelve standard</w:t>
      </w:r>
      <w:r>
        <w:t xml:space="preserve"> setters from across the globe.  </w:t>
      </w:r>
      <w:r w:rsidR="004A3168" w:rsidRPr="004A3168">
        <w:t>Both Boards also provide quarterly progress reports which can be downloaded from their web sites.</w:t>
      </w:r>
    </w:p>
    <w:p w:rsidR="004A3168" w:rsidRPr="00DB2E5D" w:rsidRDefault="004A3168" w:rsidP="00DB2E5D">
      <w:pPr>
        <w:pStyle w:val="text"/>
        <w:rPr>
          <w:rFonts w:cs="Times"/>
        </w:rPr>
      </w:pPr>
    </w:p>
    <w:p w:rsidR="00B3255F" w:rsidRPr="008C51B0" w:rsidRDefault="00B3255F" w:rsidP="00E230D4">
      <w:pPr>
        <w:pStyle w:val="text"/>
      </w:pPr>
      <w:r w:rsidRPr="008C51B0">
        <w:t xml:space="preserve">The SEC has </w:t>
      </w:r>
      <w:r>
        <w:t>moved forward</w:t>
      </w:r>
      <w:r w:rsidRPr="008C51B0">
        <w:t xml:space="preserve"> on two fronts: (1) changing its filing regulations for foreign companies and (2) considering changing its filing requirements for U.S. companies.</w:t>
      </w:r>
    </w:p>
    <w:p w:rsidR="00B3255F" w:rsidRPr="00DB2E5D" w:rsidRDefault="00B3255F" w:rsidP="00DB2E5D">
      <w:pPr>
        <w:pStyle w:val="text"/>
        <w:rPr>
          <w:rFonts w:cs="Times"/>
        </w:rPr>
      </w:pPr>
    </w:p>
    <w:p w:rsidR="00B3255F" w:rsidRPr="008C51B0" w:rsidRDefault="00B3255F" w:rsidP="00E230D4">
      <w:pPr>
        <w:pStyle w:val="text"/>
      </w:pPr>
      <w:r w:rsidRPr="008C51B0">
        <w:t xml:space="preserve">In the past, a foreign company filing its financial statements with the SEC that used accounting standards other than U.S. GAAP had to file a form which </w:t>
      </w:r>
      <w:r w:rsidR="00877D51">
        <w:t>“</w:t>
      </w:r>
      <w:r w:rsidRPr="008C51B0">
        <w:t>reconciled</w:t>
      </w:r>
      <w:r w:rsidR="00877D51">
        <w:t>”</w:t>
      </w:r>
      <w:r w:rsidRPr="008C51B0">
        <w:t xml:space="preserve"> certain amounts reported in its financial statements with the amounts that would have been reported using U.S. GAAP. However, in late 2007 the SEC rescinded this rule for foreign companies that use English-language IFRS (with no exceptions) to prepare their financial statements. These companies no longer have to file a reconciliation.</w:t>
      </w:r>
    </w:p>
    <w:p w:rsidR="0083794B" w:rsidRDefault="0083794B" w:rsidP="003A38C2"/>
    <w:p w:rsidR="003A38C2" w:rsidRDefault="003A38C2" w:rsidP="003A38C2">
      <w:r w:rsidRPr="00205BA5">
        <w:t xml:space="preserve">In July 2012, the SEC staff issued its </w:t>
      </w:r>
      <w:r>
        <w:t xml:space="preserve">final report considering incorporating IFRS into the </w:t>
      </w:r>
      <w:r w:rsidR="00917BA5">
        <w:t>f</w:t>
      </w:r>
      <w:r>
        <w:t xml:space="preserve">inancial </w:t>
      </w:r>
      <w:r w:rsidR="00917BA5">
        <w:t>r</w:t>
      </w:r>
      <w:r>
        <w:t xml:space="preserve">eporting </w:t>
      </w:r>
      <w:r w:rsidR="00917BA5">
        <w:t>s</w:t>
      </w:r>
      <w:r>
        <w:t xml:space="preserve">ystem for U.S. companies. </w:t>
      </w:r>
      <w:r w:rsidRPr="00205BA5">
        <w:t xml:space="preserve"> The report was the final phase of a work plan, initiated in February 2010, to consider specific issues relevant to the </w:t>
      </w:r>
      <w:r>
        <w:t>SEC’s</w:t>
      </w:r>
      <w:r w:rsidRPr="00205BA5">
        <w:t xml:space="preserve"> determination as to where, when</w:t>
      </w:r>
      <w:r w:rsidR="00917BA5">
        <w:t>,</w:t>
      </w:r>
      <w:r w:rsidRPr="00205BA5">
        <w:t xml:space="preserve"> and how the current financial reporting system for U.S. issuers should be transitioned to a system incorporating IFRS. </w:t>
      </w:r>
    </w:p>
    <w:p w:rsidR="0083794B" w:rsidRPr="00DB2E5D" w:rsidRDefault="003A38C2" w:rsidP="0083794B">
      <w:pPr>
        <w:pStyle w:val="text"/>
        <w:rPr>
          <w:rFonts w:cs="Times"/>
        </w:rPr>
      </w:pPr>
      <w:r w:rsidRPr="00205BA5">
        <w:br/>
        <w:t>The 2012 report summarized the staff’s findings regarding key issues surrounding the potential incorporation of IFRS into U.S. financial reporting, but did not make any recommendation to the Commission. “Additional analysis and consideration of this threshold policy question is necessary before any decision by the Commission concerning the incorporation of IFRS into the financial reporting system for the U.S. issuers can occur,” the report said.</w:t>
      </w:r>
      <w:r w:rsidRPr="00205BA5">
        <w:br/>
      </w:r>
    </w:p>
    <w:p w:rsidR="004A3168" w:rsidRPr="004A3168" w:rsidRDefault="003A38C2" w:rsidP="00DB2E5D">
      <w:pPr>
        <w:pStyle w:val="text"/>
      </w:pPr>
      <w:r w:rsidRPr="00205BA5">
        <w:t xml:space="preserve">In the report, the staff </w:t>
      </w:r>
      <w:r>
        <w:t>identified</w:t>
      </w:r>
      <w:r w:rsidRPr="00205BA5">
        <w:t xml:space="preserve"> a number of unresolved issues relating to the potential incorporation of IFRS into the U.S. financial reporting system.  These issues include the diversity in how IFRS are interpreted, applied</w:t>
      </w:r>
      <w:r w:rsidR="00917BA5">
        <w:t>,</w:t>
      </w:r>
      <w:r w:rsidRPr="00205BA5">
        <w:t xml:space="preserve"> and enforced in various jurisdictions around the world; the potential cost to U.S</w:t>
      </w:r>
      <w:r w:rsidR="00917BA5">
        <w:t>.</w:t>
      </w:r>
      <w:r w:rsidRPr="00205BA5">
        <w:t xml:space="preserve"> issuers of adopting or incorporating IFRS; investor education; and governance.</w:t>
      </w:r>
      <w:r w:rsidRPr="00205BA5">
        <w:br/>
      </w:r>
    </w:p>
    <w:p w:rsidR="00B3255F" w:rsidRPr="008C51B0" w:rsidRDefault="00B3255F" w:rsidP="00E230D4">
      <w:pPr>
        <w:pStyle w:val="text"/>
      </w:pPr>
      <w:r w:rsidRPr="008C51B0">
        <w:t>The movement by more foreign companies to using IFRS has created two potential problems for U.S. companies using U.S. GAAP (</w:t>
      </w:r>
      <w:r w:rsidR="00877D51">
        <w:t>“</w:t>
      </w:r>
      <w:r w:rsidRPr="008C51B0">
        <w:t>regulated companies</w:t>
      </w:r>
      <w:r w:rsidR="00877D51">
        <w:t>”</w:t>
      </w:r>
      <w:r w:rsidRPr="008C51B0">
        <w:t>) and that operate globally. First, their financial statements are likely to be different from</w:t>
      </w:r>
      <w:r>
        <w:t xml:space="preserve"> those of</w:t>
      </w:r>
      <w:r w:rsidRPr="008C51B0">
        <w:t xml:space="preserve"> the foreign companies with which they are competing for capital, creating difficulties for investors in comparing companies. Second, if they have subsidiaries operating in foreign countries, they may be required to prepare their subsidiaries</w:t>
      </w:r>
      <w:r w:rsidR="0077707C">
        <w:t>’</w:t>
      </w:r>
      <w:r w:rsidRPr="008C51B0">
        <w:t xml:space="preserve"> financial statements according to IFRS for local filings. Since they still have to prepare their financial statements using U.S. GAAP to file with the SEC, this creates potential costly inefficiencies. As a result, the SEC has begun a study of whether it should require or allow U.S. companies to use IFRS in their financial statements filed with the SEC. There are many issues related to this possible change</w:t>
      </w:r>
      <w:r w:rsidR="006328F9">
        <w:t>,</w:t>
      </w:r>
      <w:r w:rsidRPr="008C51B0">
        <w:t xml:space="preserve"> and they are very complex a</w:t>
      </w:r>
      <w:r w:rsidR="005437B6">
        <w:t>nd far reaching. These include:</w:t>
      </w:r>
    </w:p>
    <w:p w:rsidR="00B3255F" w:rsidRPr="008C51B0" w:rsidRDefault="00B3255F" w:rsidP="00E230D4">
      <w:pPr>
        <w:pStyle w:val="text"/>
      </w:pPr>
    </w:p>
    <w:p w:rsidR="00B3255F" w:rsidRDefault="00A1025E" w:rsidP="00A1025E">
      <w:pPr>
        <w:pStyle w:val="NumList"/>
      </w:pPr>
      <w:r>
        <w:t>(1)</w:t>
      </w:r>
      <w:r>
        <w:tab/>
      </w:r>
      <w:r w:rsidR="00B3255F" w:rsidRPr="008C51B0">
        <w:t>Many U.S. companies (particularly smaller ones) filing with the SEC do not operate globally so they would not see any advantage to using IFRS. If IFRS were required, it would likely be very costly for them to switch from U.S. GAAP to IFRS, thereby affecting their profitability during the conversion period.</w:t>
      </w:r>
    </w:p>
    <w:p w:rsidR="00B3255F" w:rsidRPr="008C51B0" w:rsidRDefault="00B3255F" w:rsidP="00A1025E">
      <w:pPr>
        <w:pStyle w:val="NumList"/>
      </w:pPr>
    </w:p>
    <w:p w:rsidR="00745EC9" w:rsidRPr="0083794B" w:rsidRDefault="00745EC9" w:rsidP="00745EC9">
      <w:pPr>
        <w:pStyle w:val="CaseAnswerHead"/>
      </w:pPr>
      <w:r w:rsidRPr="0083794B">
        <w:rPr>
          <w:u w:val="single"/>
        </w:rPr>
        <w:lastRenderedPageBreak/>
        <w:t>C1-6</w:t>
      </w:r>
      <w:r w:rsidRPr="0083794B">
        <w:tab/>
        <w:t>(</w:t>
      </w:r>
      <w:r>
        <w:t>concluded</w:t>
      </w:r>
      <w:r w:rsidRPr="0083794B">
        <w:t>)</w:t>
      </w:r>
    </w:p>
    <w:p w:rsidR="00745EC9" w:rsidRDefault="00745EC9" w:rsidP="00745EC9">
      <w:pPr>
        <w:pStyle w:val="NumList"/>
      </w:pPr>
    </w:p>
    <w:p w:rsidR="00B3255F" w:rsidRPr="008C51B0" w:rsidRDefault="00A1025E" w:rsidP="00745EC9">
      <w:pPr>
        <w:pStyle w:val="NumList"/>
      </w:pPr>
      <w:r>
        <w:t>(2)</w:t>
      </w:r>
      <w:r>
        <w:tab/>
      </w:r>
      <w:r w:rsidR="004A3168">
        <w:t>The vast majority</w:t>
      </w:r>
      <w:r w:rsidR="00B3255F" w:rsidRPr="008C51B0">
        <w:t xml:space="preserve"> of U.S. corporations do not issue publicly traded securities and therefore are not regulated by the SEC. These corporations use U.S. GAAP in preparing their financial statements. A switch to IFRS for regulated U.S. companies would create a </w:t>
      </w:r>
      <w:r w:rsidR="00877D51">
        <w:t>“</w:t>
      </w:r>
      <w:r w:rsidR="00B3255F" w:rsidRPr="008C51B0">
        <w:t>dual-GAAP</w:t>
      </w:r>
      <w:r w:rsidR="00877D51">
        <w:t>”</w:t>
      </w:r>
      <w:r w:rsidR="00B3255F" w:rsidRPr="008C51B0">
        <w:t xml:space="preserve"> system in the U</w:t>
      </w:r>
      <w:r w:rsidR="006328F9">
        <w:t xml:space="preserve">nited </w:t>
      </w:r>
      <w:r w:rsidR="00B3255F" w:rsidRPr="008C51B0">
        <w:t>S</w:t>
      </w:r>
      <w:r w:rsidR="006328F9">
        <w:t>tates</w:t>
      </w:r>
      <w:r w:rsidR="00B3255F" w:rsidRPr="008C51B0">
        <w:t>.</w:t>
      </w:r>
    </w:p>
    <w:p w:rsidR="00B3255F" w:rsidRPr="008C51B0" w:rsidRDefault="00B3255F" w:rsidP="00A1025E">
      <w:pPr>
        <w:pStyle w:val="NumList"/>
      </w:pPr>
    </w:p>
    <w:p w:rsidR="00B3255F" w:rsidRPr="008C51B0" w:rsidRDefault="00A1025E" w:rsidP="00A1025E">
      <w:pPr>
        <w:pStyle w:val="NumList"/>
      </w:pPr>
      <w:r>
        <w:t>(3)</w:t>
      </w:r>
      <w:r>
        <w:tab/>
      </w:r>
      <w:r w:rsidR="00B3255F" w:rsidRPr="008C51B0">
        <w:t>Investors, creditors, financial analysts, and other external users would have to retrain to be able to evaluate the financial statements of companies using IFRS. Also, those external users who have more resources to learn about analyses under IFRS may be at a competitive advantage.</w:t>
      </w:r>
    </w:p>
    <w:p w:rsidR="00E21869" w:rsidRDefault="00E21869">
      <w:pPr>
        <w:widowControl/>
        <w:autoSpaceDE/>
        <w:autoSpaceDN/>
        <w:adjustRightInd/>
        <w:rPr>
          <w:rFonts w:cs="Arial"/>
          <w:b/>
          <w:szCs w:val="22"/>
          <w:u w:val="single"/>
        </w:rPr>
      </w:pPr>
    </w:p>
    <w:p w:rsidR="00B3255F" w:rsidRPr="008C51B0" w:rsidRDefault="00A1025E" w:rsidP="00A1025E">
      <w:pPr>
        <w:pStyle w:val="NumList"/>
      </w:pPr>
      <w:r>
        <w:t>(4)</w:t>
      </w:r>
      <w:r>
        <w:tab/>
      </w:r>
      <w:r w:rsidR="00B3255F" w:rsidRPr="008C51B0">
        <w:t>Accountants and auditors would have to be trained and/or retrained to understand the impact of IFRS on the preparation of financial statements and the related audits of companies using IFRS. Larger auditing firms with more resources for training may be at a competitive advantage over smaller auditing firms.</w:t>
      </w:r>
    </w:p>
    <w:p w:rsidR="00B3255F" w:rsidRPr="008C51B0" w:rsidRDefault="00B3255F" w:rsidP="00A1025E">
      <w:pPr>
        <w:pStyle w:val="NumList"/>
      </w:pPr>
    </w:p>
    <w:p w:rsidR="00B3255F" w:rsidRPr="008C51B0" w:rsidRDefault="00A1025E" w:rsidP="00A1025E">
      <w:pPr>
        <w:pStyle w:val="NumList"/>
      </w:pPr>
      <w:r>
        <w:t>(5)</w:t>
      </w:r>
      <w:r>
        <w:tab/>
      </w:r>
      <w:r w:rsidR="00B3255F" w:rsidRPr="008C51B0">
        <w:t xml:space="preserve">Many companies </w:t>
      </w:r>
      <w:r w:rsidR="004B1BBC">
        <w:t>that</w:t>
      </w:r>
      <w:r w:rsidR="00B3255F" w:rsidRPr="008C51B0">
        <w:t xml:space="preserve"> have borrowed money have </w:t>
      </w:r>
      <w:r w:rsidR="00877D51">
        <w:t>“</w:t>
      </w:r>
      <w:r w:rsidR="00B3255F" w:rsidRPr="008C51B0">
        <w:t>debt covenants</w:t>
      </w:r>
      <w:r w:rsidR="00877D51">
        <w:t>”</w:t>
      </w:r>
      <w:r w:rsidR="00B3255F" w:rsidRPr="008C51B0">
        <w:t xml:space="preserve"> based on U.S. GAAP that restrict their financing activities. Modifications in existing IFRS may have to be made to maintain (or modify) these debt covenants.</w:t>
      </w:r>
    </w:p>
    <w:p w:rsidR="00B3255F" w:rsidRPr="008C51B0" w:rsidRDefault="00B3255F" w:rsidP="00A1025E">
      <w:pPr>
        <w:pStyle w:val="NumList"/>
      </w:pPr>
    </w:p>
    <w:p w:rsidR="00B3255F" w:rsidRPr="008C51B0" w:rsidRDefault="00A1025E" w:rsidP="00A1025E">
      <w:pPr>
        <w:pStyle w:val="NumList"/>
      </w:pPr>
      <w:r>
        <w:t>(6)</w:t>
      </w:r>
      <w:r>
        <w:tab/>
      </w:r>
      <w:r w:rsidR="00B3255F" w:rsidRPr="008C51B0">
        <w:t>Some accounting issues (e.g., related to extractive industries) are not covered by IFRS. New high-quality IFRS would have to be established to address these issues.</w:t>
      </w:r>
    </w:p>
    <w:p w:rsidR="00F04488" w:rsidRDefault="00F04488">
      <w:pPr>
        <w:widowControl/>
        <w:autoSpaceDE/>
        <w:autoSpaceDN/>
        <w:adjustRightInd/>
        <w:rPr>
          <w:rFonts w:cs="Arial"/>
          <w:b/>
          <w:szCs w:val="22"/>
          <w:u w:val="single"/>
        </w:rPr>
      </w:pPr>
    </w:p>
    <w:p w:rsidR="00762272" w:rsidRDefault="00762272" w:rsidP="00A85F85">
      <w:pPr>
        <w:pStyle w:val="CaseAnswerHead"/>
      </w:pPr>
      <w:r w:rsidRPr="00762272">
        <w:rPr>
          <w:u w:val="single"/>
        </w:rPr>
        <w:t>C1-</w:t>
      </w:r>
      <w:r w:rsidR="00C17AD6">
        <w:rPr>
          <w:u w:val="single"/>
        </w:rPr>
        <w:t>7</w:t>
      </w:r>
    </w:p>
    <w:p w:rsidR="00EA01E2" w:rsidRPr="00762272" w:rsidRDefault="00EA01E2" w:rsidP="00E230D4">
      <w:pPr>
        <w:pStyle w:val="text"/>
        <w:rPr>
          <w:rFonts w:cs="Times"/>
          <w:b/>
        </w:rPr>
      </w:pPr>
    </w:p>
    <w:p w:rsidR="00762272" w:rsidRDefault="00922F29" w:rsidP="00E230D4">
      <w:pPr>
        <w:pStyle w:val="text"/>
      </w:pPr>
      <w:r w:rsidRPr="00F04488">
        <w:rPr>
          <w:i/>
        </w:rPr>
        <w:t>Note to Instructor:</w:t>
      </w:r>
      <w:r>
        <w:t xml:space="preserve"> This is an open-ended case question intended to get students reading and thinking about interesting information in each of the financial statements.</w:t>
      </w:r>
      <w:r w:rsidR="00FE0D30">
        <w:t xml:space="preserve"> </w:t>
      </w:r>
      <w:r>
        <w:t>Because of its open-ended nature, we take an open-minded approach to the answers students might offer. We are willing to accept any reasonable answers regarding what students consider to be interesting information, so long as the information is drawn from the appropriate statement and is explained in an appropriate manner.</w:t>
      </w:r>
      <w:r w:rsidR="00FE0D30">
        <w:t xml:space="preserve"> </w:t>
      </w:r>
      <w:r>
        <w:t>Some simple exam</w:t>
      </w:r>
      <w:r w:rsidR="00EA01E2">
        <w:t>ples for each statement follow.</w:t>
      </w:r>
    </w:p>
    <w:p w:rsidR="003E280E" w:rsidRDefault="003E280E">
      <w:pPr>
        <w:widowControl/>
        <w:autoSpaceDE/>
        <w:autoSpaceDN/>
        <w:adjustRightInd/>
        <w:rPr>
          <w:rFonts w:ascii="Arial" w:hAnsi="Arial" w:cs="Arial"/>
          <w:szCs w:val="22"/>
        </w:rPr>
      </w:pPr>
    </w:p>
    <w:p w:rsidR="00922F29" w:rsidRDefault="00922F29" w:rsidP="00E230D4">
      <w:pPr>
        <w:pStyle w:val="text"/>
      </w:pPr>
      <w:r>
        <w:t>Balance Sheet:</w:t>
      </w:r>
    </w:p>
    <w:p w:rsidR="00342172" w:rsidRPr="004B1BBC" w:rsidRDefault="00342172" w:rsidP="004B1BBC">
      <w:pPr>
        <w:pStyle w:val="textbulletedlist"/>
      </w:pPr>
      <w:r w:rsidRPr="004B1BBC">
        <w:t>Enormous holdings of cash</w:t>
      </w:r>
      <w:r w:rsidR="004B1BBC" w:rsidRPr="004B1BBC">
        <w:rPr>
          <w:szCs w:val="20"/>
        </w:rPr>
        <w:t xml:space="preserve"> and cash equivalents,</w:t>
      </w:r>
      <w:r w:rsidRPr="004B1BBC">
        <w:t xml:space="preserve"> $</w:t>
      </w:r>
      <w:r w:rsidR="00210502" w:rsidRPr="00210502">
        <w:t>1,530.1</w:t>
      </w:r>
      <w:r w:rsidR="00210502">
        <w:t xml:space="preserve"> </w:t>
      </w:r>
      <w:r w:rsidRPr="004B1BBC">
        <w:t>million</w:t>
      </w:r>
      <w:r w:rsidR="007C4102">
        <w:t>.</w:t>
      </w:r>
    </w:p>
    <w:p w:rsidR="00342172" w:rsidRDefault="00210502" w:rsidP="00EA01E2">
      <w:pPr>
        <w:pStyle w:val="textbulletedlist"/>
      </w:pPr>
      <w:r w:rsidRPr="00210502">
        <w:t>Increase</w:t>
      </w:r>
      <w:r>
        <w:t xml:space="preserve"> </w:t>
      </w:r>
      <w:r w:rsidR="00342172">
        <w:t>in inventory from $</w:t>
      </w:r>
      <w:r w:rsidRPr="00210502">
        <w:t>1,090.9</w:t>
      </w:r>
      <w:r>
        <w:t xml:space="preserve"> </w:t>
      </w:r>
      <w:r w:rsidR="00342172">
        <w:t>million to $</w:t>
      </w:r>
      <w:r w:rsidRPr="00210502">
        <w:t>1,306.4</w:t>
      </w:r>
      <w:r>
        <w:t xml:space="preserve"> </w:t>
      </w:r>
      <w:r w:rsidR="00342172">
        <w:t>million</w:t>
      </w:r>
      <w:r w:rsidR="007C4102">
        <w:t>.</w:t>
      </w:r>
    </w:p>
    <w:p w:rsidR="00342172" w:rsidRDefault="00EA7D47" w:rsidP="00EA01E2">
      <w:pPr>
        <w:pStyle w:val="textbulletedlist"/>
      </w:pPr>
      <w:r>
        <w:t xml:space="preserve">Jump </w:t>
      </w:r>
      <w:r w:rsidR="00342172">
        <w:t>in property, plant, and equipment, from $</w:t>
      </w:r>
      <w:r w:rsidR="00210502" w:rsidRPr="00210502">
        <w:t>3,519.0</w:t>
      </w:r>
      <w:r w:rsidR="00210502">
        <w:t xml:space="preserve"> </w:t>
      </w:r>
      <w:r w:rsidR="00342172">
        <w:t>million to $</w:t>
      </w:r>
      <w:r w:rsidR="00210502" w:rsidRPr="00210502">
        <w:t>4,088.3</w:t>
      </w:r>
      <w:r w:rsidR="00342172">
        <w:t xml:space="preserve"> million</w:t>
      </w:r>
      <w:r w:rsidR="007C4102">
        <w:t>.</w:t>
      </w:r>
    </w:p>
    <w:p w:rsidR="00EA7D47" w:rsidRDefault="00210502" w:rsidP="00EA01E2">
      <w:pPr>
        <w:pStyle w:val="textbulletedlist"/>
      </w:pPr>
      <w:r w:rsidRPr="00210502">
        <w:t>Huge jump in goodwill, from $856.2 million to $1,575.4</w:t>
      </w:r>
      <w:r w:rsidR="00EA7D47">
        <w:t>.</w:t>
      </w:r>
    </w:p>
    <w:p w:rsidR="00342172" w:rsidRDefault="00EA7D47" w:rsidP="00EA01E2">
      <w:pPr>
        <w:pStyle w:val="textbulletedlist"/>
      </w:pPr>
      <w:r>
        <w:t>Significant increase in</w:t>
      </w:r>
      <w:r w:rsidR="00342172">
        <w:t xml:space="preserve"> debt financing</w:t>
      </w:r>
      <w:r w:rsidR="004B1BBC">
        <w:t>—</w:t>
      </w:r>
      <w:r>
        <w:t xml:space="preserve">from </w:t>
      </w:r>
      <w:r w:rsidR="00342172">
        <w:t>$</w:t>
      </w:r>
      <w:r w:rsidR="00210502" w:rsidRPr="00210502">
        <w:t>2,048.3</w:t>
      </w:r>
      <w:r w:rsidR="00210502">
        <w:t xml:space="preserve"> </w:t>
      </w:r>
      <w:r w:rsidR="00342172">
        <w:t>million of long</w:t>
      </w:r>
      <w:r w:rsidR="004B1BBC">
        <w:t>-</w:t>
      </w:r>
      <w:r w:rsidR="00342172">
        <w:t>term debt</w:t>
      </w:r>
      <w:r>
        <w:t xml:space="preserve"> to $</w:t>
      </w:r>
      <w:r w:rsidR="00210502" w:rsidRPr="00210502">
        <w:t>2,347.5</w:t>
      </w:r>
      <w:r w:rsidR="00210502">
        <w:t xml:space="preserve"> </w:t>
      </w:r>
      <w:r>
        <w:t>million</w:t>
      </w:r>
      <w:r w:rsidR="00342172">
        <w:t>.</w:t>
      </w:r>
    </w:p>
    <w:p w:rsidR="00342172" w:rsidRDefault="00342172" w:rsidP="00EA01E2">
      <w:pPr>
        <w:pStyle w:val="textbulletedlist"/>
      </w:pPr>
      <w:r>
        <w:t>Total equity</w:t>
      </w:r>
      <w:r w:rsidR="00210502">
        <w:t xml:space="preserve"> </w:t>
      </w:r>
      <w:r w:rsidR="00210502" w:rsidRPr="00210502">
        <w:t>($5,819.8 million)</w:t>
      </w:r>
      <w:r>
        <w:t xml:space="preserve"> comprises </w:t>
      </w:r>
      <w:r w:rsidR="00210502" w:rsidRPr="00210502">
        <w:t>just under 50%</w:t>
      </w:r>
      <w:r w:rsidR="00210502">
        <w:t xml:space="preserve"> </w:t>
      </w:r>
      <w:r>
        <w:t>of the liabilitie</w:t>
      </w:r>
      <w:r w:rsidR="007C4102">
        <w:t>s and equity, $</w:t>
      </w:r>
      <w:r w:rsidR="00210502" w:rsidRPr="00210502">
        <w:t>12,446.1</w:t>
      </w:r>
      <w:r w:rsidR="00210502">
        <w:t xml:space="preserve"> </w:t>
      </w:r>
      <w:r w:rsidR="007C4102">
        <w:t>million.</w:t>
      </w:r>
    </w:p>
    <w:p w:rsidR="00342172" w:rsidRDefault="00342172" w:rsidP="00EA01E2">
      <w:pPr>
        <w:pStyle w:val="textbulletedlist"/>
      </w:pPr>
      <w:r>
        <w:t>The majority of equity</w:t>
      </w:r>
      <w:r w:rsidR="007C4102">
        <w:t xml:space="preserve"> arises from retained earnings</w:t>
      </w:r>
      <w:r w:rsidR="00EA7D47">
        <w:t xml:space="preserve">, which </w:t>
      </w:r>
      <w:r w:rsidR="00210502" w:rsidRPr="00210502">
        <w:t>amounts to $5,974.8. Students may note that retained earnings actually exceed</w:t>
      </w:r>
      <w:r w:rsidR="002C5EA0">
        <w:t>ed</w:t>
      </w:r>
      <w:r w:rsidR="00210502" w:rsidRPr="00210502">
        <w:t xml:space="preserve"> total shareholders' equity, in part because of the accumulated other comprehensive loss of $199.4 million.</w:t>
      </w:r>
    </w:p>
    <w:p w:rsidR="0060228C" w:rsidRDefault="0060228C" w:rsidP="00E230D4">
      <w:pPr>
        <w:pStyle w:val="text"/>
      </w:pPr>
    </w:p>
    <w:p w:rsidR="00745EC9" w:rsidRDefault="00745EC9">
      <w:pPr>
        <w:widowControl/>
        <w:autoSpaceDE/>
        <w:autoSpaceDN/>
        <w:adjustRightInd/>
        <w:rPr>
          <w:rFonts w:cs="Arial"/>
          <w:szCs w:val="22"/>
        </w:rPr>
      </w:pPr>
      <w:r>
        <w:br w:type="page"/>
      </w:r>
    </w:p>
    <w:p w:rsidR="00745EC9" w:rsidRPr="0083794B" w:rsidRDefault="00745EC9" w:rsidP="00745EC9">
      <w:pPr>
        <w:pStyle w:val="CaseAnswerHead"/>
      </w:pPr>
      <w:r w:rsidRPr="0083794B">
        <w:rPr>
          <w:u w:val="single"/>
        </w:rPr>
        <w:lastRenderedPageBreak/>
        <w:t>C1-</w:t>
      </w:r>
      <w:r>
        <w:rPr>
          <w:u w:val="single"/>
        </w:rPr>
        <w:t>7</w:t>
      </w:r>
      <w:r w:rsidRPr="0083794B">
        <w:tab/>
        <w:t>(</w:t>
      </w:r>
      <w:r>
        <w:t>concluded</w:t>
      </w:r>
      <w:r w:rsidRPr="0083794B">
        <w:t>)</w:t>
      </w:r>
    </w:p>
    <w:p w:rsidR="00745EC9" w:rsidRDefault="00745EC9" w:rsidP="00E230D4">
      <w:pPr>
        <w:pStyle w:val="text"/>
      </w:pPr>
    </w:p>
    <w:p w:rsidR="00342172" w:rsidRDefault="00342172" w:rsidP="00E230D4">
      <w:pPr>
        <w:pStyle w:val="text"/>
      </w:pPr>
      <w:r>
        <w:t>Income Statement:</w:t>
      </w:r>
    </w:p>
    <w:p w:rsidR="00342172" w:rsidRDefault="00342172" w:rsidP="00EA01E2">
      <w:pPr>
        <w:pStyle w:val="textbulletedlist"/>
      </w:pPr>
      <w:r>
        <w:t>Revenues of $</w:t>
      </w:r>
      <w:r w:rsidR="00210502" w:rsidRPr="00210502">
        <w:t>19,162.7</w:t>
      </w:r>
      <w:r w:rsidR="00210502">
        <w:t xml:space="preserve"> </w:t>
      </w:r>
      <w:r>
        <w:t>million, most of which come from company</w:t>
      </w:r>
      <w:r w:rsidR="0041128A">
        <w:t>-</w:t>
      </w:r>
      <w:r>
        <w:t>operated retail stores, amounting to $</w:t>
      </w:r>
      <w:r w:rsidR="00210502" w:rsidRPr="00210502">
        <w:t>15,197.3</w:t>
      </w:r>
      <w:r w:rsidR="00210502">
        <w:t xml:space="preserve"> </w:t>
      </w:r>
      <w:r>
        <w:t>million</w:t>
      </w:r>
      <w:r w:rsidR="007C4102">
        <w:t>.</w:t>
      </w:r>
    </w:p>
    <w:p w:rsidR="00342172" w:rsidRDefault="00342172" w:rsidP="00EA01E2">
      <w:pPr>
        <w:pStyle w:val="textbulletedlist"/>
      </w:pPr>
      <w:r>
        <w:t>Big jump in revenues</w:t>
      </w:r>
      <w:r w:rsidR="005372A8">
        <w:t xml:space="preserve"> (+</w:t>
      </w:r>
      <w:r w:rsidR="00210502" w:rsidRPr="00210502">
        <w:t>16.5</w:t>
      </w:r>
      <w:r w:rsidR="005372A8">
        <w:t>%)</w:t>
      </w:r>
      <w:r w:rsidR="00E61793">
        <w:t>—</w:t>
      </w:r>
      <w:r>
        <w:t>from $</w:t>
      </w:r>
      <w:r w:rsidR="00210502" w:rsidRPr="00210502">
        <w:t>16,447.8</w:t>
      </w:r>
      <w:r w:rsidR="00210502">
        <w:t xml:space="preserve"> </w:t>
      </w:r>
      <w:r>
        <w:t xml:space="preserve">million in </w:t>
      </w:r>
      <w:r w:rsidR="005372A8">
        <w:t>201</w:t>
      </w:r>
      <w:r w:rsidR="00210502">
        <w:t>4</w:t>
      </w:r>
      <w:r w:rsidR="005372A8">
        <w:t xml:space="preserve"> </w:t>
      </w:r>
      <w:r>
        <w:t>to $</w:t>
      </w:r>
      <w:r w:rsidR="00210502" w:rsidRPr="00210502">
        <w:t>19,162.7</w:t>
      </w:r>
      <w:r>
        <w:t xml:space="preserve"> </w:t>
      </w:r>
      <w:r w:rsidR="00147384">
        <w:t xml:space="preserve">million </w:t>
      </w:r>
      <w:r>
        <w:t xml:space="preserve">in </w:t>
      </w:r>
      <w:r w:rsidR="005372A8">
        <w:t>201</w:t>
      </w:r>
      <w:r w:rsidR="00210502">
        <w:t>5</w:t>
      </w:r>
      <w:r w:rsidR="007C4102">
        <w:t>.</w:t>
      </w:r>
    </w:p>
    <w:p w:rsidR="00342172" w:rsidRDefault="00210502" w:rsidP="00EA01E2">
      <w:pPr>
        <w:pStyle w:val="textbulletedlist"/>
      </w:pPr>
      <w:r w:rsidRPr="00210502">
        <w:t>Along with</w:t>
      </w:r>
      <w:r>
        <w:t xml:space="preserve"> </w:t>
      </w:r>
      <w:r w:rsidR="00342172">
        <w:t xml:space="preserve">the big jump in revenues, most of the operating expenses experienced </w:t>
      </w:r>
      <w:r w:rsidRPr="00210502">
        <w:t>significant</w:t>
      </w:r>
      <w:r>
        <w:t xml:space="preserve"> </w:t>
      </w:r>
      <w:r w:rsidR="00342172">
        <w:t>increases</w:t>
      </w:r>
      <w:r w:rsidR="007C4102">
        <w:t>.</w:t>
      </w:r>
      <w:r>
        <w:t xml:space="preserve"> </w:t>
      </w:r>
      <w:r w:rsidRPr="00210502">
        <w:t>The net result is a significant increase in operating income, from $3,081.1 million in 2014 to $3,601.0 million in 2015.</w:t>
      </w:r>
    </w:p>
    <w:p w:rsidR="005372A8" w:rsidRDefault="00210502" w:rsidP="00EA01E2">
      <w:pPr>
        <w:pStyle w:val="textbulletedlist"/>
      </w:pPr>
      <w:r w:rsidRPr="00210502">
        <w:t>Some students may note that in fiscal 2013 Starbucks took a huge</w:t>
      </w:r>
      <w:r>
        <w:t xml:space="preserve"> </w:t>
      </w:r>
      <w:r w:rsidR="005372A8">
        <w:t>charge for the litigation settlement with Kraft ($2,784.1 million).</w:t>
      </w:r>
    </w:p>
    <w:p w:rsidR="005372A8" w:rsidRDefault="00F0442A" w:rsidP="00EA01E2">
      <w:pPr>
        <w:pStyle w:val="textbulletedlist"/>
      </w:pPr>
      <w:r w:rsidRPr="00F0442A">
        <w:t xml:space="preserve">Income tax expense in fiscal 2015 is $1,143.7 million. Some students may note that in 2013 the income tax provision was positive (tax savings) </w:t>
      </w:r>
      <w:r w:rsidR="005372A8">
        <w:t xml:space="preserve">($238.7 million) because pretax earnings </w:t>
      </w:r>
      <w:r w:rsidR="00210502" w:rsidRPr="00210502">
        <w:t>were</w:t>
      </w:r>
      <w:r w:rsidR="00210502">
        <w:t xml:space="preserve"> </w:t>
      </w:r>
      <w:r w:rsidR="005372A8">
        <w:t>negative</w:t>
      </w:r>
      <w:r w:rsidR="002C5EA0">
        <w:t xml:space="preserve"> </w:t>
      </w:r>
      <w:r w:rsidR="002C5EA0" w:rsidRPr="002C5EA0">
        <w:t>(</w:t>
      </w:r>
      <w:r w:rsidR="002C5EA0">
        <w:t>–</w:t>
      </w:r>
      <w:r w:rsidR="002C5EA0" w:rsidRPr="002C5EA0">
        <w:t>$229.9 million)</w:t>
      </w:r>
      <w:r w:rsidR="005372A8">
        <w:t xml:space="preserve">. </w:t>
      </w:r>
    </w:p>
    <w:p w:rsidR="00342172" w:rsidRDefault="005372A8" w:rsidP="00EA01E2">
      <w:pPr>
        <w:pStyle w:val="textbulletedlist"/>
      </w:pPr>
      <w:r>
        <w:t xml:space="preserve">Record </w:t>
      </w:r>
      <w:r w:rsidR="00F0442A" w:rsidRPr="00F0442A">
        <w:t xml:space="preserve">earnings in fiscal 2015 of $2,757.4 million, a stark contrast to the record </w:t>
      </w:r>
      <w:r>
        <w:t>low earnings of only $8.3 million</w:t>
      </w:r>
      <w:r w:rsidR="009A2A83">
        <w:t xml:space="preserve"> in </w:t>
      </w:r>
      <w:r w:rsidR="00F0442A" w:rsidRPr="00F0442A">
        <w:t xml:space="preserve">fiscal </w:t>
      </w:r>
      <w:r w:rsidR="00F0442A">
        <w:t xml:space="preserve"> </w:t>
      </w:r>
      <w:r w:rsidR="009A2A83">
        <w:t>2013</w:t>
      </w:r>
      <w:r w:rsidR="00F0442A">
        <w:t>.</w:t>
      </w:r>
    </w:p>
    <w:p w:rsidR="00F04488" w:rsidRDefault="00F04488">
      <w:pPr>
        <w:widowControl/>
        <w:autoSpaceDE/>
        <w:autoSpaceDN/>
        <w:adjustRightInd/>
        <w:rPr>
          <w:u w:val="single"/>
        </w:rPr>
      </w:pPr>
    </w:p>
    <w:p w:rsidR="00F04488" w:rsidRDefault="00F04488" w:rsidP="00F04488">
      <w:pPr>
        <w:pStyle w:val="text"/>
      </w:pPr>
      <w:r>
        <w:t>Statement of Cash Flows:</w:t>
      </w:r>
    </w:p>
    <w:p w:rsidR="00F04488" w:rsidRDefault="00F0442A" w:rsidP="00F04488">
      <w:pPr>
        <w:pStyle w:val="textbulletedlist"/>
      </w:pPr>
      <w:r w:rsidRPr="00F0442A">
        <w:t>Operating</w:t>
      </w:r>
      <w:r>
        <w:t xml:space="preserve"> </w:t>
      </w:r>
      <w:r w:rsidR="00F04488">
        <w:t xml:space="preserve">cash flows </w:t>
      </w:r>
      <w:r w:rsidRPr="00F0442A">
        <w:t xml:space="preserve">in fiscal 2015 </w:t>
      </w:r>
      <w:r w:rsidR="00F04488">
        <w:t>are very healthy: $</w:t>
      </w:r>
      <w:r w:rsidRPr="00F0442A">
        <w:t>3,749.1</w:t>
      </w:r>
      <w:r>
        <w:t xml:space="preserve"> </w:t>
      </w:r>
      <w:r w:rsidR="00F04488">
        <w:t xml:space="preserve">million, </w:t>
      </w:r>
      <w:r w:rsidRPr="00F0442A">
        <w:t xml:space="preserve">a large portion </w:t>
      </w:r>
      <w:r w:rsidR="00F04488">
        <w:t>of which comes from the depreciation and amortization addback.</w:t>
      </w:r>
    </w:p>
    <w:p w:rsidR="00F04488" w:rsidRDefault="00F04488" w:rsidP="00F04488">
      <w:pPr>
        <w:pStyle w:val="textbulletedlist"/>
      </w:pPr>
      <w:r>
        <w:t>Investing cash outflows: ($</w:t>
      </w:r>
      <w:r w:rsidR="00F0442A" w:rsidRPr="00F0442A">
        <w:t>1,520.3</w:t>
      </w:r>
      <w:r w:rsidR="00F0442A">
        <w:t xml:space="preserve"> </w:t>
      </w:r>
      <w:r>
        <w:t>million), primarily for additions to property, plant, and equipment and (net) purchases of investment securities.</w:t>
      </w:r>
    </w:p>
    <w:p w:rsidR="00F04488" w:rsidRDefault="00F04488" w:rsidP="00F04488">
      <w:pPr>
        <w:pStyle w:val="textbulletedlist"/>
      </w:pPr>
      <w:r>
        <w:t>Financing cash outflows: ($</w:t>
      </w:r>
      <w:r w:rsidR="00F0442A" w:rsidRPr="00F0442A">
        <w:t>2,256.5</w:t>
      </w:r>
      <w:r w:rsidR="00F0442A">
        <w:t xml:space="preserve"> </w:t>
      </w:r>
      <w:r>
        <w:t>million), long-term borrowings (net) contributed $</w:t>
      </w:r>
      <w:r w:rsidR="00F0442A" w:rsidRPr="00F0442A">
        <w:t>238.4</w:t>
      </w:r>
      <w:r w:rsidR="00F0442A">
        <w:t xml:space="preserve"> </w:t>
      </w:r>
      <w:r>
        <w:t>million, whereas cash outflows consisted primarily of payments  for dividends and repurchases of common stock.</w:t>
      </w:r>
    </w:p>
    <w:p w:rsidR="00F04488" w:rsidRDefault="00F04488" w:rsidP="00F04488">
      <w:pPr>
        <w:pStyle w:val="textbulletedlist"/>
      </w:pPr>
      <w:r>
        <w:t xml:space="preserve">Cash balance </w:t>
      </w:r>
      <w:r w:rsidR="00F0442A" w:rsidRPr="00F0442A">
        <w:t xml:space="preserve">declined </w:t>
      </w:r>
      <w:r>
        <w:t>in 201</w:t>
      </w:r>
      <w:r w:rsidR="00F0442A">
        <w:t>5</w:t>
      </w:r>
      <w:r>
        <w:t>, from $</w:t>
      </w:r>
      <w:r w:rsidR="00F0442A" w:rsidRPr="00F0442A">
        <w:t>1,708.4</w:t>
      </w:r>
      <w:r w:rsidR="00F0442A">
        <w:t xml:space="preserve"> </w:t>
      </w:r>
      <w:r>
        <w:t>million to $</w:t>
      </w:r>
      <w:r w:rsidR="00F0442A" w:rsidRPr="00F0442A">
        <w:t>1,530.1</w:t>
      </w:r>
      <w:r w:rsidR="00F0442A">
        <w:t xml:space="preserve"> </w:t>
      </w:r>
      <w:r>
        <w:t>million.</w:t>
      </w:r>
    </w:p>
    <w:p w:rsidR="00F04488" w:rsidRDefault="00F04488" w:rsidP="00F04488">
      <w:pPr>
        <w:widowControl/>
        <w:autoSpaceDE/>
        <w:autoSpaceDN/>
        <w:adjustRightInd/>
        <w:rPr>
          <w:rFonts w:cs="Arial"/>
          <w:szCs w:val="22"/>
        </w:rPr>
      </w:pPr>
    </w:p>
    <w:p w:rsidR="003902DC" w:rsidRDefault="003902DC" w:rsidP="00E230D4">
      <w:pPr>
        <w:pStyle w:val="text"/>
      </w:pPr>
      <w:r>
        <w:t>Statement of Shareholders</w:t>
      </w:r>
      <w:r w:rsidR="0077707C">
        <w:t>’</w:t>
      </w:r>
      <w:r>
        <w:t xml:space="preserve"> Equity:</w:t>
      </w:r>
    </w:p>
    <w:p w:rsidR="003902DC" w:rsidRDefault="003902DC" w:rsidP="00EA01E2">
      <w:pPr>
        <w:pStyle w:val="textbulletedlist"/>
      </w:pPr>
      <w:r>
        <w:t>Interesting pieces of information about equity from the balance sheet can be applied to this part of the case</w:t>
      </w:r>
      <w:r w:rsidR="000908EB">
        <w:t>,</w:t>
      </w:r>
      <w:r>
        <w:t xml:space="preserve"> too.</w:t>
      </w:r>
    </w:p>
    <w:p w:rsidR="003902DC" w:rsidRDefault="00F0442A" w:rsidP="00EA01E2">
      <w:pPr>
        <w:pStyle w:val="textbulletedlist"/>
      </w:pPr>
      <w:r w:rsidRPr="00F0442A">
        <w:t>Accumulated other</w:t>
      </w:r>
      <w:r>
        <w:t xml:space="preserve"> </w:t>
      </w:r>
      <w:r w:rsidR="009A2A83">
        <w:t xml:space="preserve">comprehensive </w:t>
      </w:r>
      <w:r w:rsidR="003902DC">
        <w:t xml:space="preserve">income </w:t>
      </w:r>
      <w:r w:rsidR="009A2A83">
        <w:t xml:space="preserve">items </w:t>
      </w:r>
      <w:r w:rsidRPr="00F0442A">
        <w:t>of $25.3 million at the end of fiscal 2014 flipped to an accumulated other comprehensive loss of $199.4 million by the end of fiscal 2015, primarily due to foreign currency translation adjustments.</w:t>
      </w:r>
    </w:p>
    <w:p w:rsidR="00762272" w:rsidRDefault="003902DC" w:rsidP="00EA01E2">
      <w:pPr>
        <w:pStyle w:val="textbulletedlist"/>
      </w:pPr>
      <w:r>
        <w:t xml:space="preserve">Retained earnings </w:t>
      </w:r>
      <w:r w:rsidR="00F0442A">
        <w:t>in</w:t>
      </w:r>
      <w:r>
        <w:t xml:space="preserve">creased </w:t>
      </w:r>
      <w:r w:rsidR="009A2A83">
        <w:t xml:space="preserve">primarily </w:t>
      </w:r>
      <w:r>
        <w:t xml:space="preserve">due to </w:t>
      </w:r>
      <w:r w:rsidR="00F0442A" w:rsidRPr="00F0442A">
        <w:t xml:space="preserve">net earnings ($2,759.3 million), less </w:t>
      </w:r>
      <w:r w:rsidR="00F0442A">
        <w:t xml:space="preserve"> </w:t>
      </w:r>
      <w:r w:rsidR="003B41FD">
        <w:t>dividends</w:t>
      </w:r>
      <w:r w:rsidR="00F0442A">
        <w:t xml:space="preserve"> </w:t>
      </w:r>
      <w:r w:rsidR="00F0442A" w:rsidRPr="00F0442A">
        <w:t xml:space="preserve">declared </w:t>
      </w:r>
      <w:r w:rsidR="003B41FD">
        <w:t>($</w:t>
      </w:r>
      <w:r w:rsidR="00F0442A" w:rsidRPr="00F0442A">
        <w:t>1,016.2</w:t>
      </w:r>
      <w:r w:rsidR="00F0442A">
        <w:t xml:space="preserve"> </w:t>
      </w:r>
      <w:r w:rsidR="003B41FD">
        <w:t>million)</w:t>
      </w:r>
      <w:r w:rsidR="009A2A83">
        <w:t xml:space="preserve"> and share repurchases ($</w:t>
      </w:r>
      <w:r w:rsidR="00F0442A" w:rsidRPr="00F0442A">
        <w:t>972.2</w:t>
      </w:r>
      <w:r w:rsidR="00F0442A">
        <w:t xml:space="preserve"> </w:t>
      </w:r>
      <w:r w:rsidR="009A2A83">
        <w:t>million</w:t>
      </w:r>
      <w:r w:rsidR="00340212">
        <w:t xml:space="preserve"> </w:t>
      </w:r>
      <w:r w:rsidR="00340212" w:rsidRPr="00340212">
        <w:t>subtracted</w:t>
      </w:r>
      <w:r w:rsidR="009A2A83">
        <w:t xml:space="preserve"> from retained earnings, with another $</w:t>
      </w:r>
      <w:r w:rsidR="00F0442A" w:rsidRPr="00F0442A">
        <w:t>459.6</w:t>
      </w:r>
      <w:r w:rsidR="00F0442A">
        <w:t xml:space="preserve"> </w:t>
      </w:r>
      <w:r w:rsidR="009A2A83">
        <w:t>million</w:t>
      </w:r>
      <w:r w:rsidR="00340212">
        <w:t xml:space="preserve"> </w:t>
      </w:r>
      <w:r w:rsidR="00340212" w:rsidRPr="00340212">
        <w:t>subtracted</w:t>
      </w:r>
      <w:r w:rsidR="009A2A83">
        <w:t xml:space="preserve"> from additional paid</w:t>
      </w:r>
      <w:r w:rsidR="0041128A">
        <w:t>-</w:t>
      </w:r>
      <w:r w:rsidR="009A2A83">
        <w:t>in capital)</w:t>
      </w:r>
      <w:r w:rsidR="003B41FD">
        <w:t>.</w:t>
      </w:r>
    </w:p>
    <w:p w:rsidR="00D033FD" w:rsidRDefault="00D033FD">
      <w:pPr>
        <w:widowControl/>
        <w:autoSpaceDE/>
        <w:autoSpaceDN/>
        <w:adjustRightInd/>
        <w:rPr>
          <w:rFonts w:cs="Arial"/>
          <w:b/>
          <w:szCs w:val="22"/>
          <w:u w:val="single"/>
        </w:rPr>
      </w:pPr>
    </w:p>
    <w:p w:rsidR="003902DC" w:rsidRDefault="006530DB" w:rsidP="00E230D4">
      <w:pPr>
        <w:pStyle w:val="text"/>
      </w:pPr>
      <w:r>
        <w:t>Management Discussion and Analysis</w:t>
      </w:r>
      <w:r w:rsidR="006C6E9B">
        <w:t>:</w:t>
      </w:r>
    </w:p>
    <w:p w:rsidR="003B41FD" w:rsidRDefault="003B41FD" w:rsidP="003B41FD">
      <w:pPr>
        <w:pStyle w:val="6pt"/>
      </w:pPr>
    </w:p>
    <w:p w:rsidR="006530DB" w:rsidRDefault="006530DB" w:rsidP="003B41FD">
      <w:pPr>
        <w:pStyle w:val="text"/>
      </w:pPr>
      <w:r>
        <w:t>The MD&amp;A section contains many pieces of information, including:</w:t>
      </w:r>
    </w:p>
    <w:p w:rsidR="006530DB" w:rsidRDefault="006530DB" w:rsidP="00EA01E2">
      <w:pPr>
        <w:pStyle w:val="textbulletedlist"/>
      </w:pPr>
      <w:r>
        <w:t xml:space="preserve">Starbucks had </w:t>
      </w:r>
      <w:r w:rsidR="00F0442A" w:rsidRPr="00F0442A">
        <w:t>23,043</w:t>
      </w:r>
      <w:r w:rsidR="00F0442A">
        <w:t xml:space="preserve"> </w:t>
      </w:r>
      <w:r>
        <w:t xml:space="preserve">stores worldwide at the end of fiscal </w:t>
      </w:r>
      <w:r w:rsidR="00E254D2">
        <w:t>201</w:t>
      </w:r>
      <w:r w:rsidR="00F0442A">
        <w:t>5</w:t>
      </w:r>
      <w:r>
        <w:t>.</w:t>
      </w:r>
    </w:p>
    <w:p w:rsidR="006530DB" w:rsidRDefault="006530DB" w:rsidP="00EA01E2">
      <w:pPr>
        <w:pStyle w:val="textbulletedlist"/>
      </w:pPr>
      <w:r>
        <w:t xml:space="preserve">In </w:t>
      </w:r>
      <w:r w:rsidR="00E254D2">
        <w:t>201</w:t>
      </w:r>
      <w:r w:rsidR="00F0442A">
        <w:t>6</w:t>
      </w:r>
      <w:r>
        <w:t xml:space="preserve">, Starbucks expects </w:t>
      </w:r>
      <w:r w:rsidR="00F0442A" w:rsidRPr="00F0442A">
        <w:t>revenue growth in excess of 10%</w:t>
      </w:r>
      <w:r w:rsidR="00F0442A">
        <w:t xml:space="preserve"> </w:t>
      </w:r>
      <w:r w:rsidR="00691D0E">
        <w:t xml:space="preserve">and </w:t>
      </w:r>
      <w:r w:rsidR="00F0442A" w:rsidRPr="00F0442A">
        <w:t>slight</w:t>
      </w:r>
      <w:r w:rsidR="00F0442A">
        <w:t xml:space="preserve"> </w:t>
      </w:r>
      <w:r w:rsidR="00691D0E">
        <w:t>improvement in operating margin</w:t>
      </w:r>
      <w:r w:rsidR="006C6E9B">
        <w:t>.</w:t>
      </w:r>
    </w:p>
    <w:p w:rsidR="006530DB" w:rsidRDefault="006530DB" w:rsidP="00EA01E2">
      <w:pPr>
        <w:pStyle w:val="textbulletedlist"/>
      </w:pPr>
      <w:r>
        <w:t xml:space="preserve">In </w:t>
      </w:r>
      <w:r w:rsidR="00E254D2">
        <w:t>201</w:t>
      </w:r>
      <w:r w:rsidR="00F0442A">
        <w:t>6</w:t>
      </w:r>
      <w:r>
        <w:t xml:space="preserve">, Starbucks plans to open roughly </w:t>
      </w:r>
      <w:r w:rsidR="00F0442A" w:rsidRPr="00F0442A">
        <w:t>1,800</w:t>
      </w:r>
      <w:r w:rsidR="00F0442A">
        <w:t xml:space="preserve"> </w:t>
      </w:r>
      <w:r>
        <w:t>new stores</w:t>
      </w:r>
      <w:r w:rsidR="001F22EC">
        <w:t>.</w:t>
      </w:r>
    </w:p>
    <w:p w:rsidR="006530DB" w:rsidRDefault="006530DB" w:rsidP="00EA01E2">
      <w:pPr>
        <w:pStyle w:val="textbulletedlist"/>
      </w:pPr>
      <w:r>
        <w:t>Starbucks expects capital expenditures to be approximately $</w:t>
      </w:r>
      <w:r w:rsidR="00F0442A" w:rsidRPr="00F0442A">
        <w:t>1,400</w:t>
      </w:r>
      <w:r w:rsidR="00F0442A">
        <w:t xml:space="preserve"> </w:t>
      </w:r>
      <w:r>
        <w:t>m</w:t>
      </w:r>
      <w:r w:rsidR="001F22EC">
        <w:t>illion in 201</w:t>
      </w:r>
      <w:r w:rsidR="00F0442A">
        <w:t>6</w:t>
      </w:r>
      <w:r w:rsidR="001F22EC">
        <w:t>.</w:t>
      </w:r>
    </w:p>
    <w:p w:rsidR="00745EC9" w:rsidRDefault="00745EC9">
      <w:pPr>
        <w:widowControl/>
        <w:autoSpaceDE/>
        <w:autoSpaceDN/>
        <w:adjustRightInd/>
        <w:rPr>
          <w:rFonts w:cs="Arial"/>
          <w:b/>
          <w:szCs w:val="22"/>
          <w:u w:val="single"/>
        </w:rPr>
      </w:pPr>
    </w:p>
    <w:p w:rsidR="00762272" w:rsidRDefault="00762272" w:rsidP="00A85F85">
      <w:pPr>
        <w:pStyle w:val="CaseAnswerHead"/>
      </w:pPr>
      <w:r w:rsidRPr="00F04488">
        <w:rPr>
          <w:u w:val="single"/>
        </w:rPr>
        <w:t>C1-</w:t>
      </w:r>
      <w:r w:rsidR="00C17AD6" w:rsidRPr="00F04488">
        <w:rPr>
          <w:u w:val="single"/>
        </w:rPr>
        <w:t>8</w:t>
      </w:r>
    </w:p>
    <w:p w:rsidR="00EA01E2" w:rsidRPr="00762272" w:rsidRDefault="00EA01E2" w:rsidP="00E230D4">
      <w:pPr>
        <w:pStyle w:val="text"/>
        <w:rPr>
          <w:rFonts w:cs="Times"/>
          <w:b/>
        </w:rPr>
      </w:pPr>
    </w:p>
    <w:p w:rsidR="00405F93" w:rsidRDefault="00405F93" w:rsidP="00E230D4">
      <w:pPr>
        <w:pStyle w:val="text"/>
      </w:pPr>
      <w:r w:rsidRPr="00F04488">
        <w:rPr>
          <w:i/>
        </w:rPr>
        <w:t>Note to Instructor:</w:t>
      </w:r>
      <w:r>
        <w:t xml:space="preserve"> This is an open-ended case question intended to get students reading and thinking about interesting information in each of the financial statements.</w:t>
      </w:r>
      <w:r w:rsidR="00FE0D30">
        <w:t xml:space="preserve"> </w:t>
      </w:r>
      <w:r>
        <w:t>Because of its open-ended nature, we take an open-minded approach to the answers students might offer. We are willing to accept any reasonable answers regarding what students consider to be interesting information, so long as the information is drawn from the appropriate statement and is explained in an appropriate manner.</w:t>
      </w:r>
      <w:r w:rsidR="00FE0D30">
        <w:t xml:space="preserve"> </w:t>
      </w:r>
      <w:r>
        <w:t>Some simple exam</w:t>
      </w:r>
      <w:r w:rsidR="001056B8">
        <w:t>ples for each statement follow.</w:t>
      </w:r>
    </w:p>
    <w:p w:rsidR="001B229B" w:rsidRDefault="001B229B">
      <w:pPr>
        <w:widowControl/>
        <w:autoSpaceDE/>
        <w:autoSpaceDN/>
        <w:adjustRightInd/>
        <w:rPr>
          <w:rFonts w:cs="Arial"/>
          <w:b/>
          <w:szCs w:val="22"/>
          <w:u w:val="single"/>
        </w:rPr>
      </w:pPr>
    </w:p>
    <w:p w:rsidR="00D866F6" w:rsidRDefault="00D866F6" w:rsidP="00E230D4">
      <w:pPr>
        <w:pStyle w:val="text"/>
      </w:pPr>
      <w:r w:rsidRPr="00710CBE">
        <w:rPr>
          <w:u w:val="single"/>
        </w:rPr>
        <w:t>Note:</w:t>
      </w:r>
      <w:r>
        <w:t xml:space="preserve"> all amounts in millions of CHF</w:t>
      </w:r>
    </w:p>
    <w:p w:rsidR="00D866F6" w:rsidRDefault="00D866F6" w:rsidP="00E230D4">
      <w:pPr>
        <w:pStyle w:val="text"/>
      </w:pPr>
    </w:p>
    <w:p w:rsidR="00342172" w:rsidRDefault="00342172" w:rsidP="00E230D4">
      <w:pPr>
        <w:pStyle w:val="text"/>
      </w:pPr>
      <w:r>
        <w:t>Balance Sheet:</w:t>
      </w:r>
    </w:p>
    <w:p w:rsidR="00D866F6" w:rsidRDefault="00D866F6" w:rsidP="00126D6E">
      <w:pPr>
        <w:pStyle w:val="textbulletedlist"/>
      </w:pPr>
      <w:r>
        <w:t>The largest assets consist of goodwill (</w:t>
      </w:r>
      <w:r w:rsidR="00EA01E2">
        <w:t xml:space="preserve">CHF </w:t>
      </w:r>
      <w:r w:rsidR="00143547">
        <w:t>31,039</w:t>
      </w:r>
      <w:r w:rsidR="00EA01E2">
        <w:t xml:space="preserve"> million</w:t>
      </w:r>
      <w:r>
        <w:t>), property, plant</w:t>
      </w:r>
      <w:r w:rsidR="003B41FD">
        <w:t>,</w:t>
      </w:r>
      <w:r>
        <w:t xml:space="preserve"> and equipment (</w:t>
      </w:r>
      <w:r w:rsidR="00EA01E2">
        <w:t xml:space="preserve">CHF </w:t>
      </w:r>
      <w:r w:rsidR="00143547">
        <w:t>26,895</w:t>
      </w:r>
      <w:r w:rsidR="009D3233" w:rsidRPr="009D3233">
        <w:t xml:space="preserve"> </w:t>
      </w:r>
      <w:r w:rsidR="009D3233">
        <w:t>million</w:t>
      </w:r>
      <w:r>
        <w:t xml:space="preserve">), </w:t>
      </w:r>
      <w:r w:rsidR="00143547">
        <w:t>intangible assets</w:t>
      </w:r>
      <w:r>
        <w:t xml:space="preserve"> (</w:t>
      </w:r>
      <w:r w:rsidR="00EA01E2">
        <w:t xml:space="preserve">CHF </w:t>
      </w:r>
      <w:r>
        <w:t>12,</w:t>
      </w:r>
      <w:r w:rsidR="00143547">
        <w:t>673</w:t>
      </w:r>
      <w:r w:rsidR="009D3233" w:rsidRPr="009D3233">
        <w:t xml:space="preserve"> </w:t>
      </w:r>
      <w:r w:rsidR="009D3233">
        <w:t>million</w:t>
      </w:r>
      <w:r>
        <w:t>)</w:t>
      </w:r>
      <w:r w:rsidR="00340212" w:rsidRPr="00340212">
        <w:t>, investments in associates and joint ventures (CHF 12,315 million), and trade and other receivables (CHF 12,206 million).</w:t>
      </w:r>
    </w:p>
    <w:p w:rsidR="00342172" w:rsidRPr="00D32142" w:rsidRDefault="00405F93" w:rsidP="00126D6E">
      <w:pPr>
        <w:pStyle w:val="textbulletedlist"/>
      </w:pPr>
      <w:r w:rsidRPr="00D32142">
        <w:t>Tota</w:t>
      </w:r>
      <w:r w:rsidR="00D866F6" w:rsidRPr="00D32142">
        <w:t xml:space="preserve">l assets amount to </w:t>
      </w:r>
      <w:r w:rsidR="00EA01E2" w:rsidRPr="00D32142">
        <w:t xml:space="preserve">CHF </w:t>
      </w:r>
      <w:r w:rsidR="00143547">
        <w:rPr>
          <w:rFonts w:cs="Tahoma"/>
          <w:color w:val="000000"/>
          <w:szCs w:val="20"/>
        </w:rPr>
        <w:t>120,442</w:t>
      </w:r>
      <w:r w:rsidR="00D32142" w:rsidRPr="00D32142">
        <w:rPr>
          <w:rFonts w:cs="Tahoma"/>
          <w:color w:val="000000"/>
          <w:szCs w:val="20"/>
        </w:rPr>
        <w:t xml:space="preserve"> </w:t>
      </w:r>
      <w:r w:rsidR="009D3233" w:rsidRPr="00D32142">
        <w:t>million</w:t>
      </w:r>
      <w:r w:rsidR="00DD2A82">
        <w:t>.</w:t>
      </w:r>
    </w:p>
    <w:p w:rsidR="00405F93" w:rsidRPr="00F1352F" w:rsidRDefault="00D32142" w:rsidP="00731C09">
      <w:pPr>
        <w:pStyle w:val="textbulletedlist"/>
      </w:pPr>
      <w:r w:rsidRPr="00F1352F">
        <w:t>More financing from equity than from debt—</w:t>
      </w:r>
      <w:r w:rsidR="00405F93" w:rsidRPr="00F1352F">
        <w:t xml:space="preserve">total liabilities amount to </w:t>
      </w:r>
      <w:r w:rsidR="009D3233" w:rsidRPr="00F1352F">
        <w:t xml:space="preserve">CHF </w:t>
      </w:r>
      <w:r w:rsidR="00143547">
        <w:t>56,303</w:t>
      </w:r>
      <w:r w:rsidR="00F1352F" w:rsidRPr="00F1352F">
        <w:t xml:space="preserve"> </w:t>
      </w:r>
      <w:r w:rsidR="009D3233" w:rsidRPr="00F1352F">
        <w:t>million</w:t>
      </w:r>
      <w:r w:rsidR="00405F93" w:rsidRPr="00F1352F">
        <w:t xml:space="preserve"> and total equity amounts to </w:t>
      </w:r>
      <w:r w:rsidR="00EA01E2" w:rsidRPr="00F1352F">
        <w:t xml:space="preserve">CHF </w:t>
      </w:r>
      <w:r w:rsidR="00143547">
        <w:t>64,139</w:t>
      </w:r>
      <w:r w:rsidR="00F1352F" w:rsidRPr="00F1352F">
        <w:t xml:space="preserve"> </w:t>
      </w:r>
      <w:r w:rsidR="009D3233" w:rsidRPr="00F1352F">
        <w:t>million</w:t>
      </w:r>
      <w:r w:rsidR="00DD2A82">
        <w:t>.</w:t>
      </w:r>
    </w:p>
    <w:p w:rsidR="00405F93" w:rsidRPr="00067754" w:rsidRDefault="00405F93" w:rsidP="00126D6E">
      <w:pPr>
        <w:pStyle w:val="textbulletedlist"/>
      </w:pPr>
      <w:r w:rsidRPr="00067754">
        <w:t xml:space="preserve">Financial </w:t>
      </w:r>
      <w:r w:rsidR="00722920">
        <w:t>debt</w:t>
      </w:r>
      <w:r w:rsidR="00067754" w:rsidRPr="00067754">
        <w:t>—</w:t>
      </w:r>
      <w:r w:rsidRPr="00067754">
        <w:t>current (</w:t>
      </w:r>
      <w:r w:rsidR="00EA01E2" w:rsidRPr="00067754">
        <w:t xml:space="preserve">CHF </w:t>
      </w:r>
      <w:r w:rsidR="00340212" w:rsidRPr="00340212">
        <w:rPr>
          <w:rFonts w:cs="Tahoma"/>
          <w:color w:val="000000"/>
          <w:szCs w:val="20"/>
        </w:rPr>
        <w:t>11,380</w:t>
      </w:r>
      <w:r w:rsidR="00067754" w:rsidRPr="00067754">
        <w:rPr>
          <w:rFonts w:cs="Tahoma"/>
          <w:color w:val="000000"/>
          <w:szCs w:val="20"/>
        </w:rPr>
        <w:t xml:space="preserve"> </w:t>
      </w:r>
      <w:r w:rsidR="009D3233" w:rsidRPr="00067754">
        <w:t>million</w:t>
      </w:r>
      <w:r w:rsidRPr="00067754">
        <w:t>) and noncurrent (</w:t>
      </w:r>
      <w:r w:rsidR="00EA01E2" w:rsidRPr="00067754">
        <w:t xml:space="preserve">CHF </w:t>
      </w:r>
      <w:r w:rsidR="00340212" w:rsidRPr="00340212">
        <w:rPr>
          <w:rFonts w:cs="Tahoma"/>
          <w:color w:val="000000"/>
          <w:szCs w:val="20"/>
        </w:rPr>
        <w:t>10,363</w:t>
      </w:r>
      <w:r w:rsidR="00067754" w:rsidRPr="00067754">
        <w:rPr>
          <w:rFonts w:cs="Tahoma"/>
          <w:color w:val="000000"/>
          <w:szCs w:val="20"/>
        </w:rPr>
        <w:t xml:space="preserve"> </w:t>
      </w:r>
      <w:r w:rsidR="009D3233" w:rsidRPr="00067754">
        <w:t>million</w:t>
      </w:r>
      <w:r w:rsidR="00126D6E" w:rsidRPr="00067754">
        <w:t>)</w:t>
      </w:r>
      <w:r w:rsidR="00067754" w:rsidRPr="00067754">
        <w:t>—</w:t>
      </w:r>
      <w:r w:rsidR="00126D6E" w:rsidRPr="00067754">
        <w:t>represent borrowings.</w:t>
      </w:r>
    </w:p>
    <w:p w:rsidR="00405F93" w:rsidRPr="00A82C9F" w:rsidRDefault="00405F93" w:rsidP="00126D6E">
      <w:pPr>
        <w:pStyle w:val="textbulletedlist"/>
      </w:pPr>
      <w:r w:rsidRPr="00A82C9F">
        <w:t>The largest liability that arises from operating activities is trade and other payables (</w:t>
      </w:r>
      <w:r w:rsidR="00EA01E2" w:rsidRPr="00A82C9F">
        <w:t xml:space="preserve">CHF </w:t>
      </w:r>
      <w:r w:rsidR="00143547">
        <w:rPr>
          <w:rFonts w:cs="Tahoma"/>
          <w:color w:val="000000"/>
          <w:szCs w:val="20"/>
        </w:rPr>
        <w:t>16,072</w:t>
      </w:r>
      <w:r w:rsidR="00A82C9F" w:rsidRPr="00A82C9F">
        <w:rPr>
          <w:rFonts w:cs="Tahoma"/>
          <w:color w:val="000000"/>
          <w:szCs w:val="20"/>
        </w:rPr>
        <w:t xml:space="preserve"> </w:t>
      </w:r>
      <w:r w:rsidR="009D3233" w:rsidRPr="00A82C9F">
        <w:t>million</w:t>
      </w:r>
      <w:r w:rsidRPr="00A82C9F">
        <w:t>)</w:t>
      </w:r>
      <w:r w:rsidR="00A82C9F" w:rsidRPr="00A82C9F">
        <w:t>.</w:t>
      </w:r>
    </w:p>
    <w:p w:rsidR="00405F93" w:rsidRPr="00A82C9F" w:rsidRDefault="00405F93" w:rsidP="00126D6E">
      <w:pPr>
        <w:pStyle w:val="textbulletedlist"/>
      </w:pPr>
      <w:r w:rsidRPr="00A82C9F">
        <w:t xml:space="preserve">Retained earnings account for common equity: </w:t>
      </w:r>
      <w:r w:rsidR="00EA01E2" w:rsidRPr="00A82C9F">
        <w:t xml:space="preserve">CHF </w:t>
      </w:r>
      <w:r w:rsidR="00143547">
        <w:rPr>
          <w:rFonts w:cs="Tahoma"/>
          <w:color w:val="000000"/>
          <w:szCs w:val="20"/>
        </w:rPr>
        <w:t>85,260</w:t>
      </w:r>
      <w:r w:rsidR="00A82C9F" w:rsidRPr="00A82C9F">
        <w:rPr>
          <w:rFonts w:cs="Tahoma"/>
          <w:color w:val="000000"/>
          <w:szCs w:val="20"/>
        </w:rPr>
        <w:t xml:space="preserve"> </w:t>
      </w:r>
      <w:r w:rsidR="009D3233" w:rsidRPr="00A82C9F">
        <w:t>million</w:t>
      </w:r>
      <w:r w:rsidRPr="00A82C9F">
        <w:t>.</w:t>
      </w:r>
    </w:p>
    <w:p w:rsidR="00762272" w:rsidRDefault="00762272" w:rsidP="00E230D4">
      <w:pPr>
        <w:pStyle w:val="text"/>
      </w:pPr>
    </w:p>
    <w:p w:rsidR="00E22AD5" w:rsidRDefault="00E22AD5" w:rsidP="00E230D4">
      <w:pPr>
        <w:pStyle w:val="text"/>
      </w:pPr>
      <w:r>
        <w:t>Income Statement:</w:t>
      </w:r>
    </w:p>
    <w:p w:rsidR="00405F93" w:rsidRPr="00731C09" w:rsidRDefault="00E22AD5" w:rsidP="00731C09">
      <w:pPr>
        <w:pStyle w:val="textbulletedlist"/>
      </w:pPr>
      <w:r w:rsidRPr="00731C09">
        <w:t xml:space="preserve">Revenues of </w:t>
      </w:r>
      <w:r w:rsidR="00EA01E2" w:rsidRPr="00731C09">
        <w:t xml:space="preserve">CHF </w:t>
      </w:r>
      <w:r w:rsidR="00293817">
        <w:rPr>
          <w:szCs w:val="20"/>
        </w:rPr>
        <w:t>92,158</w:t>
      </w:r>
      <w:r w:rsidR="00525B52" w:rsidRPr="00731C09">
        <w:rPr>
          <w:szCs w:val="20"/>
        </w:rPr>
        <w:t xml:space="preserve"> </w:t>
      </w:r>
      <w:r w:rsidR="009D3233" w:rsidRPr="00731C09">
        <w:t>million</w:t>
      </w:r>
      <w:r w:rsidR="00405F93" w:rsidRPr="00731C09">
        <w:t xml:space="preserve"> in </w:t>
      </w:r>
      <w:r w:rsidR="00293817">
        <w:rPr>
          <w:szCs w:val="20"/>
        </w:rPr>
        <w:t>2013</w:t>
      </w:r>
      <w:r w:rsidR="00405F93" w:rsidRPr="00731C09">
        <w:t>.</w:t>
      </w:r>
    </w:p>
    <w:p w:rsidR="001F22EC" w:rsidRPr="00731C09" w:rsidRDefault="00405F93" w:rsidP="00731C09">
      <w:pPr>
        <w:pStyle w:val="textbulletedlist"/>
      </w:pPr>
      <w:r w:rsidRPr="00731C09">
        <w:t xml:space="preserve">Profit for the year was </w:t>
      </w:r>
      <w:r w:rsidR="00EA01E2" w:rsidRPr="00731C09">
        <w:t xml:space="preserve">CHF </w:t>
      </w:r>
      <w:r w:rsidR="00293817">
        <w:rPr>
          <w:szCs w:val="20"/>
        </w:rPr>
        <w:t>10,445</w:t>
      </w:r>
      <w:r w:rsidR="00525B52" w:rsidRPr="00731C09">
        <w:rPr>
          <w:szCs w:val="20"/>
        </w:rPr>
        <w:t xml:space="preserve"> </w:t>
      </w:r>
      <w:r w:rsidR="009D3233" w:rsidRPr="00731C09">
        <w:t>million</w:t>
      </w:r>
      <w:r w:rsidRPr="00731C09">
        <w:t xml:space="preserve"> </w:t>
      </w:r>
      <w:r w:rsidR="00293817">
        <w:t>in 2013, down slightly from CHF 10,677 for 2012</w:t>
      </w:r>
      <w:r w:rsidRPr="00731C09">
        <w:t>.</w:t>
      </w:r>
    </w:p>
    <w:p w:rsidR="0016292B" w:rsidRDefault="0016292B">
      <w:pPr>
        <w:widowControl/>
        <w:autoSpaceDE/>
        <w:autoSpaceDN/>
        <w:adjustRightInd/>
        <w:rPr>
          <w:rFonts w:cs="Arial"/>
          <w:b/>
          <w:szCs w:val="22"/>
          <w:u w:val="single"/>
        </w:rPr>
      </w:pPr>
    </w:p>
    <w:p w:rsidR="003902DC" w:rsidRDefault="003902DC" w:rsidP="00E230D4">
      <w:pPr>
        <w:pStyle w:val="text"/>
      </w:pPr>
      <w:r>
        <w:t>Statement of Cash Flows:</w:t>
      </w:r>
    </w:p>
    <w:p w:rsidR="003902DC" w:rsidRPr="00596446" w:rsidRDefault="003902DC" w:rsidP="00596446">
      <w:pPr>
        <w:pStyle w:val="textbulletedlist"/>
      </w:pPr>
      <w:r w:rsidRPr="00596446">
        <w:t xml:space="preserve">Operating cash flows are very healthy: </w:t>
      </w:r>
      <w:r w:rsidR="00EA01E2" w:rsidRPr="00596446">
        <w:t xml:space="preserve">CHF </w:t>
      </w:r>
      <w:r w:rsidR="00143547">
        <w:rPr>
          <w:rFonts w:cs="Tahoma"/>
          <w:color w:val="000000"/>
          <w:szCs w:val="20"/>
        </w:rPr>
        <w:t>14,992</w:t>
      </w:r>
      <w:r w:rsidR="00525B52" w:rsidRPr="00596446">
        <w:rPr>
          <w:rFonts w:cs="Tahoma"/>
          <w:color w:val="000000"/>
          <w:szCs w:val="20"/>
        </w:rPr>
        <w:t xml:space="preserve"> </w:t>
      </w:r>
      <w:r w:rsidR="009D3233" w:rsidRPr="00596446">
        <w:t>million</w:t>
      </w:r>
      <w:r w:rsidRPr="00596446">
        <w:t xml:space="preserve">, most of which comes from </w:t>
      </w:r>
      <w:r w:rsidR="00143547">
        <w:t xml:space="preserve">operating </w:t>
      </w:r>
      <w:r w:rsidR="00405F93" w:rsidRPr="00596446">
        <w:t>profit</w:t>
      </w:r>
      <w:r w:rsidRPr="00596446">
        <w:t xml:space="preserve"> </w:t>
      </w:r>
      <w:r w:rsidR="00525B52" w:rsidRPr="00596446">
        <w:rPr>
          <w:rFonts w:cs="Tahoma"/>
          <w:color w:val="000000"/>
          <w:szCs w:val="20"/>
        </w:rPr>
        <w:t>minus</w:t>
      </w:r>
      <w:r w:rsidRPr="00596446">
        <w:t xml:space="preserve"> the </w:t>
      </w:r>
      <w:r w:rsidR="00405F93" w:rsidRPr="00596446">
        <w:t>non-cash items</w:t>
      </w:r>
      <w:r w:rsidRPr="00596446">
        <w:t>.</w:t>
      </w:r>
    </w:p>
    <w:p w:rsidR="00525B52" w:rsidRPr="00596446" w:rsidRDefault="003902DC" w:rsidP="00596446">
      <w:pPr>
        <w:pStyle w:val="textbulletedlist"/>
        <w:rPr>
          <w:rFonts w:cs="Tahoma"/>
          <w:szCs w:val="20"/>
        </w:rPr>
      </w:pPr>
      <w:r w:rsidRPr="00596446">
        <w:t xml:space="preserve">Investing cash flows: </w:t>
      </w:r>
      <w:r w:rsidR="00EA01E2" w:rsidRPr="00596446">
        <w:t xml:space="preserve">CHF </w:t>
      </w:r>
      <w:r w:rsidR="00143547">
        <w:rPr>
          <w:rFonts w:cs="Tahoma"/>
          <w:color w:val="000000"/>
          <w:szCs w:val="20"/>
        </w:rPr>
        <w:t>-1,606</w:t>
      </w:r>
      <w:r w:rsidR="00525B52" w:rsidRPr="00596446">
        <w:rPr>
          <w:rFonts w:cs="Tahoma"/>
          <w:color w:val="000000"/>
          <w:szCs w:val="20"/>
        </w:rPr>
        <w:t xml:space="preserve"> </w:t>
      </w:r>
      <w:r w:rsidR="009D3233" w:rsidRPr="00596446">
        <w:t>million</w:t>
      </w:r>
      <w:r w:rsidRPr="00596446">
        <w:t xml:space="preserve">, </w:t>
      </w:r>
      <w:r w:rsidR="00143547">
        <w:t xml:space="preserve">with capital expenditures being the largest use of cash for investing </w:t>
      </w:r>
      <w:r w:rsidR="00525B52" w:rsidRPr="00596446">
        <w:rPr>
          <w:rFonts w:cs="Tahoma"/>
          <w:color w:val="000000"/>
          <w:szCs w:val="20"/>
        </w:rPr>
        <w:t xml:space="preserve">(CHF </w:t>
      </w:r>
      <w:r w:rsidR="00143547">
        <w:rPr>
          <w:rFonts w:cs="Tahoma"/>
          <w:color w:val="000000"/>
          <w:szCs w:val="20"/>
        </w:rPr>
        <w:t>-4,928</w:t>
      </w:r>
      <w:r w:rsidR="00525B52" w:rsidRPr="00596446">
        <w:rPr>
          <w:rFonts w:cs="Tahoma"/>
          <w:color w:val="000000"/>
          <w:szCs w:val="20"/>
        </w:rPr>
        <w:t xml:space="preserve"> million).</w:t>
      </w:r>
    </w:p>
    <w:p w:rsidR="003902DC" w:rsidRPr="00596446" w:rsidRDefault="00405F93" w:rsidP="00596446">
      <w:pPr>
        <w:pStyle w:val="textbulletedlist"/>
      </w:pPr>
      <w:r w:rsidRPr="00596446">
        <w:t xml:space="preserve">Financing cash flows: </w:t>
      </w:r>
      <w:r w:rsidR="00EA145A">
        <w:t>(</w:t>
      </w:r>
      <w:r w:rsidR="00EA01E2" w:rsidRPr="00596446">
        <w:t xml:space="preserve">CHF </w:t>
      </w:r>
      <w:r w:rsidR="00143547">
        <w:t>-12,158</w:t>
      </w:r>
      <w:r w:rsidR="00525B52" w:rsidRPr="00596446">
        <w:rPr>
          <w:rFonts w:cs="Tahoma"/>
          <w:color w:val="000000"/>
          <w:szCs w:val="20"/>
        </w:rPr>
        <w:t xml:space="preserve"> </w:t>
      </w:r>
      <w:r w:rsidR="009D3233" w:rsidRPr="00596446">
        <w:t>million</w:t>
      </w:r>
      <w:r w:rsidR="00EA145A">
        <w:t>)</w:t>
      </w:r>
      <w:r w:rsidR="003902DC" w:rsidRPr="00596446">
        <w:t>, primarily for dividends</w:t>
      </w:r>
      <w:r w:rsidR="00525B52" w:rsidRPr="00596446">
        <w:t xml:space="preserve">, </w:t>
      </w:r>
      <w:r w:rsidR="00525B52" w:rsidRPr="00596446">
        <w:rPr>
          <w:rFonts w:cs="Tahoma"/>
          <w:color w:val="000000"/>
          <w:szCs w:val="20"/>
        </w:rPr>
        <w:t xml:space="preserve">and </w:t>
      </w:r>
      <w:r w:rsidR="00143547">
        <w:rPr>
          <w:rFonts w:cs="Tahoma"/>
          <w:color w:val="000000"/>
          <w:szCs w:val="20"/>
        </w:rPr>
        <w:t>payments of current financial debt</w:t>
      </w:r>
      <w:r w:rsidR="0016292B">
        <w:t>.</w:t>
      </w:r>
    </w:p>
    <w:p w:rsidR="003902DC" w:rsidRPr="007708B7" w:rsidRDefault="003902DC" w:rsidP="007708B7">
      <w:pPr>
        <w:pStyle w:val="textbulletedlist"/>
      </w:pPr>
      <w:r w:rsidRPr="007708B7">
        <w:t xml:space="preserve">Cash balance </w:t>
      </w:r>
      <w:r w:rsidR="00596446" w:rsidRPr="007708B7">
        <w:rPr>
          <w:szCs w:val="20"/>
        </w:rPr>
        <w:t>increased</w:t>
      </w:r>
      <w:r w:rsidR="00143547">
        <w:rPr>
          <w:szCs w:val="20"/>
        </w:rPr>
        <w:t xml:space="preserve"> CHF 702 million</w:t>
      </w:r>
      <w:r w:rsidR="00301A9F" w:rsidRPr="007708B7">
        <w:t xml:space="preserve">: </w:t>
      </w:r>
      <w:r w:rsidR="00EA01E2" w:rsidRPr="007708B7">
        <w:t xml:space="preserve">CHF </w:t>
      </w:r>
      <w:r w:rsidR="00596446" w:rsidRPr="007708B7">
        <w:rPr>
          <w:szCs w:val="20"/>
        </w:rPr>
        <w:t>5,</w:t>
      </w:r>
      <w:r w:rsidR="00143547">
        <w:rPr>
          <w:szCs w:val="20"/>
        </w:rPr>
        <w:t>713</w:t>
      </w:r>
      <w:r w:rsidR="00596446" w:rsidRPr="007708B7">
        <w:rPr>
          <w:szCs w:val="20"/>
        </w:rPr>
        <w:t xml:space="preserve"> </w:t>
      </w:r>
      <w:r w:rsidR="009D3233" w:rsidRPr="007708B7">
        <w:t>million</w:t>
      </w:r>
      <w:r w:rsidR="00301A9F" w:rsidRPr="007708B7">
        <w:t xml:space="preserve"> at the beginning of </w:t>
      </w:r>
      <w:r w:rsidR="00293817">
        <w:rPr>
          <w:szCs w:val="20"/>
        </w:rPr>
        <w:t>2013</w:t>
      </w:r>
      <w:r w:rsidR="00301A9F" w:rsidRPr="007708B7">
        <w:t xml:space="preserve">, </w:t>
      </w:r>
      <w:r w:rsidR="00EA01E2" w:rsidRPr="007708B7">
        <w:t xml:space="preserve">CHF </w:t>
      </w:r>
      <w:r w:rsidR="00143547">
        <w:t>6,415</w:t>
      </w:r>
      <w:r w:rsidR="007708B7" w:rsidRPr="007708B7">
        <w:rPr>
          <w:szCs w:val="20"/>
        </w:rPr>
        <w:t xml:space="preserve"> </w:t>
      </w:r>
      <w:r w:rsidR="009D3233" w:rsidRPr="007708B7">
        <w:t>million</w:t>
      </w:r>
      <w:r w:rsidR="00301A9F" w:rsidRPr="007708B7">
        <w:t xml:space="preserve"> at the end of</w:t>
      </w:r>
      <w:r w:rsidRPr="007708B7">
        <w:t xml:space="preserve"> </w:t>
      </w:r>
      <w:r w:rsidR="00293817">
        <w:rPr>
          <w:szCs w:val="20"/>
        </w:rPr>
        <w:t>2013</w:t>
      </w:r>
      <w:r w:rsidR="00301A9F" w:rsidRPr="007708B7">
        <w:t>.</w:t>
      </w:r>
    </w:p>
    <w:p w:rsidR="006107BD" w:rsidRDefault="006107BD" w:rsidP="001056B8">
      <w:pPr>
        <w:pStyle w:val="text"/>
      </w:pPr>
    </w:p>
    <w:p w:rsidR="00143547" w:rsidRDefault="00143547" w:rsidP="00A85F85">
      <w:pPr>
        <w:pStyle w:val="CaseAnswerHead"/>
        <w:rPr>
          <w:u w:val="single"/>
        </w:rPr>
      </w:pPr>
    </w:p>
    <w:p w:rsidR="00745EC9" w:rsidRDefault="00745EC9">
      <w:pPr>
        <w:widowControl/>
        <w:autoSpaceDE/>
        <w:autoSpaceDN/>
        <w:adjustRightInd/>
        <w:rPr>
          <w:rFonts w:cs="Arial"/>
          <w:b/>
          <w:szCs w:val="22"/>
          <w:u w:val="single"/>
        </w:rPr>
      </w:pPr>
      <w:r>
        <w:rPr>
          <w:u w:val="single"/>
        </w:rPr>
        <w:br w:type="page"/>
      </w:r>
    </w:p>
    <w:p w:rsidR="00762272" w:rsidRPr="00762272" w:rsidRDefault="00762272" w:rsidP="00A85F85">
      <w:pPr>
        <w:pStyle w:val="CaseAnswerHead"/>
      </w:pPr>
      <w:r w:rsidRPr="00762272">
        <w:rPr>
          <w:u w:val="single"/>
        </w:rPr>
        <w:lastRenderedPageBreak/>
        <w:t>C1-</w:t>
      </w:r>
      <w:r w:rsidR="00F450F1">
        <w:rPr>
          <w:u w:val="single"/>
        </w:rPr>
        <w:t>9</w:t>
      </w:r>
    </w:p>
    <w:p w:rsidR="00A85F85" w:rsidRDefault="00A85F85" w:rsidP="00E230D4">
      <w:pPr>
        <w:pStyle w:val="text"/>
      </w:pPr>
    </w:p>
    <w:p w:rsidR="008F1CDF" w:rsidRPr="00762272" w:rsidRDefault="00405F93" w:rsidP="006239B8">
      <w:pPr>
        <w:pStyle w:val="text"/>
      </w:pPr>
      <w:r w:rsidRPr="00906654">
        <w:rPr>
          <w:i/>
        </w:rPr>
        <w:t>Note to Instructor:</w:t>
      </w:r>
      <w:r>
        <w:t xml:space="preserve"> This is an open-ended case question intended to get students reading and thinking about interesting information in each of the financial statements.</w:t>
      </w:r>
      <w:r w:rsidR="00FE0D30">
        <w:t xml:space="preserve"> </w:t>
      </w:r>
      <w:r>
        <w:t>Because of its open-ended nature, we take an open-minded approach to the answers students might offer. We are willing to accept any reasonable answers regarding what students consider to be interesting information, so long as the information is drawn from the appropriate statement and is explained in an appropriate manner.</w:t>
      </w:r>
      <w:r w:rsidR="00FE0D30">
        <w:t xml:space="preserve"> </w:t>
      </w:r>
      <w:r>
        <w:t>Some simple exam</w:t>
      </w:r>
      <w:r w:rsidR="00126D6E">
        <w:t>ples for each statement follow.</w:t>
      </w:r>
    </w:p>
    <w:p w:rsidR="008F1CDF" w:rsidRDefault="008F1CDF" w:rsidP="008F1CDF">
      <w:pPr>
        <w:pStyle w:val="text"/>
      </w:pPr>
    </w:p>
    <w:p w:rsidR="00342172" w:rsidRDefault="00342172" w:rsidP="00E230D4">
      <w:pPr>
        <w:pStyle w:val="text"/>
      </w:pPr>
      <w:r>
        <w:t>Balance Sheet:</w:t>
      </w:r>
    </w:p>
    <w:p w:rsidR="00342172" w:rsidRPr="007708B7" w:rsidRDefault="00342172" w:rsidP="007708B7">
      <w:pPr>
        <w:pStyle w:val="textbulletedlist"/>
      </w:pPr>
      <w:r w:rsidRPr="007708B7">
        <w:t xml:space="preserve">Enormous holdings of cash </w:t>
      </w:r>
      <w:r w:rsidR="00591506" w:rsidRPr="007708B7">
        <w:rPr>
          <w:szCs w:val="20"/>
        </w:rPr>
        <w:t>and cash equivalents, $</w:t>
      </w:r>
      <w:r w:rsidR="009154A0">
        <w:rPr>
          <w:szCs w:val="20"/>
        </w:rPr>
        <w:t>10,414</w:t>
      </w:r>
      <w:r w:rsidR="00591506" w:rsidRPr="007708B7">
        <w:rPr>
          <w:szCs w:val="20"/>
        </w:rPr>
        <w:t xml:space="preserve"> </w:t>
      </w:r>
      <w:r w:rsidRPr="007708B7">
        <w:t>million</w:t>
      </w:r>
      <w:r w:rsidR="008F1CDF">
        <w:t>.</w:t>
      </w:r>
    </w:p>
    <w:p w:rsidR="00342172" w:rsidRDefault="00D37365" w:rsidP="00D27787">
      <w:pPr>
        <w:pStyle w:val="textbulletedlist"/>
      </w:pPr>
      <w:r>
        <w:t>Largest asset</w:t>
      </w:r>
      <w:r w:rsidR="00AA75BC">
        <w:t>—</w:t>
      </w:r>
      <w:r>
        <w:t>p</w:t>
      </w:r>
      <w:r w:rsidR="00342172">
        <w:t>roperty, plant, and equipment, $</w:t>
      </w:r>
      <w:r w:rsidR="00D27787">
        <w:t>14,</w:t>
      </w:r>
      <w:r w:rsidR="006239B8">
        <w:t>96</w:t>
      </w:r>
      <w:r w:rsidR="00D27787">
        <w:t xml:space="preserve">7 </w:t>
      </w:r>
      <w:r w:rsidR="00342172">
        <w:t>million</w:t>
      </w:r>
      <w:r>
        <w:t>.</w:t>
      </w:r>
    </w:p>
    <w:p w:rsidR="00D37365" w:rsidRDefault="00D37365" w:rsidP="00D27787">
      <w:pPr>
        <w:pStyle w:val="textbulletedlist"/>
      </w:pPr>
      <w:r>
        <w:t>Significant holdings of equity method investments</w:t>
      </w:r>
      <w:r w:rsidR="00D27787">
        <w:t>,</w:t>
      </w:r>
      <w:r>
        <w:t xml:space="preserve"> $</w:t>
      </w:r>
      <w:r w:rsidR="006239B8">
        <w:t>10,393</w:t>
      </w:r>
      <w:r w:rsidR="00D27787">
        <w:t xml:space="preserve"> </w:t>
      </w:r>
      <w:r>
        <w:t>million</w:t>
      </w:r>
      <w:r w:rsidR="006239B8">
        <w:t xml:space="preserve">, goodwill, $12,312 million, </w:t>
      </w:r>
      <w:r w:rsidR="00D27787">
        <w:t>and bottlers' franchise rights with indefinite lives, $7,</w:t>
      </w:r>
      <w:r w:rsidR="006239B8">
        <w:t>415</w:t>
      </w:r>
      <w:r w:rsidR="00D27787">
        <w:t xml:space="preserve"> million</w:t>
      </w:r>
      <w:r>
        <w:t>.</w:t>
      </w:r>
    </w:p>
    <w:p w:rsidR="00D37365" w:rsidRDefault="00D37365" w:rsidP="00D27787">
      <w:pPr>
        <w:pStyle w:val="textbulletedlist"/>
      </w:pPr>
      <w:r>
        <w:t>Total assets are $</w:t>
      </w:r>
      <w:r w:rsidR="006239B8">
        <w:t>90,055</w:t>
      </w:r>
      <w:r w:rsidR="00D27787">
        <w:t xml:space="preserve"> </w:t>
      </w:r>
      <w:r>
        <w:t>million.</w:t>
      </w:r>
    </w:p>
    <w:p w:rsidR="00D37365" w:rsidRDefault="00D37365" w:rsidP="00D27787">
      <w:pPr>
        <w:pStyle w:val="textbulletedlist"/>
      </w:pPr>
      <w:r>
        <w:t>Financial debt</w:t>
      </w:r>
      <w:r w:rsidR="00AA75BC">
        <w:t>—</w:t>
      </w:r>
      <w:r>
        <w:t>current ($</w:t>
      </w:r>
      <w:r w:rsidR="006239B8">
        <w:t>16,901</w:t>
      </w:r>
      <w:r w:rsidR="00D27787">
        <w:t xml:space="preserve"> </w:t>
      </w:r>
      <w:r>
        <w:t>million</w:t>
      </w:r>
      <w:r w:rsidR="006239B8">
        <w:t xml:space="preserve"> in loans and notes payable plus $1,024 million in current maturities of long-term debt</w:t>
      </w:r>
      <w:r>
        <w:t>) and long-term ($</w:t>
      </w:r>
      <w:r w:rsidR="006239B8">
        <w:t>19,154</w:t>
      </w:r>
      <w:r w:rsidR="00D27787">
        <w:t xml:space="preserve"> million).</w:t>
      </w:r>
    </w:p>
    <w:p w:rsidR="00C676E6" w:rsidRDefault="00D27787" w:rsidP="00D27787">
      <w:pPr>
        <w:pStyle w:val="textbulletedlist"/>
      </w:pPr>
      <w:r>
        <w:t>Financed with more debt than equity</w:t>
      </w:r>
      <w:r w:rsidR="00AA75BC">
        <w:t>—</w:t>
      </w:r>
      <w:r w:rsidR="00C676E6">
        <w:t>total liabilities amount to $</w:t>
      </w:r>
      <w:r w:rsidR="006239B8">
        <w:t>56,615</w:t>
      </w:r>
      <w:r>
        <w:t xml:space="preserve"> </w:t>
      </w:r>
      <w:r w:rsidR="00C676E6">
        <w:t>million and total equity amounts to $</w:t>
      </w:r>
      <w:r w:rsidR="006239B8">
        <w:t>33,440</w:t>
      </w:r>
      <w:r>
        <w:t xml:space="preserve"> </w:t>
      </w:r>
      <w:r w:rsidR="00C676E6">
        <w:t>million.</w:t>
      </w:r>
    </w:p>
    <w:p w:rsidR="00342172" w:rsidRDefault="00342172" w:rsidP="00D27787">
      <w:pPr>
        <w:pStyle w:val="textbulletedlist"/>
      </w:pPr>
      <w:r>
        <w:t xml:space="preserve">The majority of equity arises from retained </w:t>
      </w:r>
      <w:r w:rsidR="00D37365">
        <w:t xml:space="preserve">(reinvested) </w:t>
      </w:r>
      <w:r w:rsidR="002A1668">
        <w:t>earnings.</w:t>
      </w:r>
    </w:p>
    <w:p w:rsidR="00762272" w:rsidRPr="0060228C" w:rsidRDefault="00762272" w:rsidP="00E230D4">
      <w:pPr>
        <w:pStyle w:val="text"/>
        <w:rPr>
          <w:sz w:val="16"/>
          <w:szCs w:val="16"/>
        </w:rPr>
      </w:pPr>
    </w:p>
    <w:p w:rsidR="00E22AD5" w:rsidRDefault="00E22AD5" w:rsidP="00E230D4">
      <w:pPr>
        <w:pStyle w:val="text"/>
      </w:pPr>
      <w:r>
        <w:t>Income Statement:</w:t>
      </w:r>
    </w:p>
    <w:p w:rsidR="00E22AD5" w:rsidRPr="00CF26B8" w:rsidRDefault="00340212" w:rsidP="00CF26B8">
      <w:pPr>
        <w:pStyle w:val="textbulletedlist"/>
      </w:pPr>
      <w:r w:rsidRPr="00340212">
        <w:t>Net operating</w:t>
      </w:r>
      <w:r>
        <w:t xml:space="preserve"> r</w:t>
      </w:r>
      <w:r w:rsidR="00E22AD5" w:rsidRPr="00CF26B8">
        <w:t>evenues of $</w:t>
      </w:r>
      <w:r w:rsidRPr="00340212">
        <w:rPr>
          <w:rFonts w:cs="Tahoma"/>
          <w:color w:val="000000"/>
          <w:szCs w:val="20"/>
        </w:rPr>
        <w:t>46,854</w:t>
      </w:r>
      <w:r w:rsidR="00CF26B8" w:rsidRPr="00CF26B8">
        <w:rPr>
          <w:rFonts w:cs="Tahoma"/>
          <w:color w:val="000000"/>
          <w:szCs w:val="20"/>
        </w:rPr>
        <w:t xml:space="preserve"> </w:t>
      </w:r>
      <w:r w:rsidR="00AB02BF" w:rsidRPr="00CF26B8">
        <w:t>million</w:t>
      </w:r>
      <w:r w:rsidR="00A259CF">
        <w:t>.</w:t>
      </w:r>
    </w:p>
    <w:p w:rsidR="00E22AD5" w:rsidRPr="00CF26B8" w:rsidRDefault="00E22AD5" w:rsidP="00CF26B8">
      <w:pPr>
        <w:pStyle w:val="textbulletedlist"/>
      </w:pPr>
      <w:r w:rsidRPr="00CF26B8">
        <w:t xml:space="preserve">Big </w:t>
      </w:r>
      <w:r w:rsidR="006239B8">
        <w:rPr>
          <w:rFonts w:cs="Tahoma"/>
          <w:color w:val="000000"/>
          <w:szCs w:val="20"/>
        </w:rPr>
        <w:t>drop</w:t>
      </w:r>
      <w:r w:rsidRPr="00CF26B8">
        <w:t xml:space="preserve"> in revenues</w:t>
      </w:r>
      <w:r w:rsidR="00126D6E" w:rsidRPr="00CF26B8">
        <w:t>—</w:t>
      </w:r>
      <w:r w:rsidRPr="00CF26B8">
        <w:t>from $</w:t>
      </w:r>
      <w:r w:rsidR="006239B8">
        <w:rPr>
          <w:rFonts w:cs="Tahoma"/>
          <w:color w:val="000000"/>
          <w:szCs w:val="20"/>
        </w:rPr>
        <w:t>48,017</w:t>
      </w:r>
      <w:r w:rsidR="00CF26B8" w:rsidRPr="00CF26B8">
        <w:rPr>
          <w:rFonts w:cs="Tahoma"/>
          <w:color w:val="000000"/>
          <w:szCs w:val="20"/>
        </w:rPr>
        <w:t xml:space="preserve"> </w:t>
      </w:r>
      <w:r w:rsidRPr="00CF26B8">
        <w:t xml:space="preserve">million in </w:t>
      </w:r>
      <w:r w:rsidR="006239B8">
        <w:rPr>
          <w:rFonts w:cs="Tahoma"/>
          <w:color w:val="000000"/>
          <w:szCs w:val="20"/>
        </w:rPr>
        <w:t>2012</w:t>
      </w:r>
      <w:r w:rsidRPr="00CF26B8">
        <w:t xml:space="preserve"> to $</w:t>
      </w:r>
      <w:r w:rsidR="006239B8">
        <w:rPr>
          <w:rFonts w:cs="Tahoma"/>
          <w:color w:val="000000"/>
          <w:szCs w:val="20"/>
        </w:rPr>
        <w:t>46,854</w:t>
      </w:r>
      <w:r w:rsidR="00CF26B8" w:rsidRPr="00CF26B8">
        <w:rPr>
          <w:rFonts w:cs="Tahoma"/>
          <w:color w:val="000000"/>
          <w:szCs w:val="20"/>
        </w:rPr>
        <w:t xml:space="preserve"> </w:t>
      </w:r>
      <w:r w:rsidR="00147384" w:rsidRPr="00CF26B8">
        <w:t>million</w:t>
      </w:r>
      <w:r w:rsidRPr="00CF26B8">
        <w:t xml:space="preserve"> in </w:t>
      </w:r>
      <w:r w:rsidR="006239B8">
        <w:rPr>
          <w:rFonts w:cs="Tahoma"/>
          <w:color w:val="000000"/>
          <w:szCs w:val="20"/>
        </w:rPr>
        <w:t>2013</w:t>
      </w:r>
      <w:r w:rsidR="00147384" w:rsidRPr="00CF26B8">
        <w:t>.</w:t>
      </w:r>
    </w:p>
    <w:p w:rsidR="00E22AD5" w:rsidRPr="00A259CF" w:rsidRDefault="00147384" w:rsidP="00A259CF">
      <w:pPr>
        <w:pStyle w:val="textbulletedlist"/>
      </w:pPr>
      <w:r w:rsidRPr="00A259CF">
        <w:t xml:space="preserve">Equity income </w:t>
      </w:r>
      <w:r w:rsidR="006239B8">
        <w:t>fell from</w:t>
      </w:r>
      <w:r w:rsidR="00A259CF" w:rsidRPr="00A259CF">
        <w:t xml:space="preserve"> $</w:t>
      </w:r>
      <w:r w:rsidR="006239B8">
        <w:t>819</w:t>
      </w:r>
      <w:r w:rsidR="00A259CF" w:rsidRPr="00A259CF">
        <w:t xml:space="preserve"> million </w:t>
      </w:r>
      <w:r w:rsidRPr="00A259CF">
        <w:t xml:space="preserve">in </w:t>
      </w:r>
      <w:r w:rsidR="006239B8">
        <w:t>2012</w:t>
      </w:r>
      <w:r w:rsidRPr="00A259CF">
        <w:t xml:space="preserve"> </w:t>
      </w:r>
      <w:r w:rsidR="00CF26B8" w:rsidRPr="00A259CF">
        <w:t xml:space="preserve">to </w:t>
      </w:r>
      <w:r w:rsidR="00A259CF" w:rsidRPr="00A259CF">
        <w:t>$</w:t>
      </w:r>
      <w:r w:rsidR="006239B8">
        <w:t>602</w:t>
      </w:r>
      <w:r w:rsidR="00A259CF" w:rsidRPr="00A259CF">
        <w:t xml:space="preserve"> million </w:t>
      </w:r>
      <w:r w:rsidR="00CF26B8" w:rsidRPr="00A259CF">
        <w:t xml:space="preserve">in </w:t>
      </w:r>
      <w:r w:rsidR="006239B8">
        <w:t>2013</w:t>
      </w:r>
      <w:r w:rsidR="00A259CF" w:rsidRPr="00A259CF">
        <w:t>.</w:t>
      </w:r>
    </w:p>
    <w:p w:rsidR="00E22AD5" w:rsidRPr="00CF26B8" w:rsidRDefault="00147384" w:rsidP="00CF26B8">
      <w:pPr>
        <w:pStyle w:val="textbulletedlist"/>
      </w:pPr>
      <w:r w:rsidRPr="00CF26B8">
        <w:t xml:space="preserve">Big </w:t>
      </w:r>
      <w:r w:rsidR="006239B8">
        <w:t>drop</w:t>
      </w:r>
      <w:r w:rsidRPr="00CF26B8">
        <w:t xml:space="preserve"> in </w:t>
      </w:r>
      <w:r w:rsidR="00CF26B8" w:rsidRPr="00CF26B8">
        <w:rPr>
          <w:rFonts w:cs="Tahoma"/>
          <w:color w:val="000000"/>
          <w:szCs w:val="20"/>
        </w:rPr>
        <w:t>net income</w:t>
      </w:r>
      <w:r w:rsidR="00E22AD5" w:rsidRPr="00CF26B8">
        <w:t>: $</w:t>
      </w:r>
      <w:r w:rsidR="006239B8">
        <w:rPr>
          <w:rFonts w:cs="Tahoma"/>
          <w:color w:val="000000"/>
          <w:szCs w:val="20"/>
        </w:rPr>
        <w:t>8,584</w:t>
      </w:r>
      <w:r w:rsidR="00CF26B8" w:rsidRPr="00CF26B8">
        <w:rPr>
          <w:rFonts w:cs="Tahoma"/>
          <w:color w:val="000000"/>
          <w:szCs w:val="20"/>
        </w:rPr>
        <w:t xml:space="preserve"> </w:t>
      </w:r>
      <w:r w:rsidR="00E22AD5" w:rsidRPr="00CF26B8">
        <w:t>million</w:t>
      </w:r>
      <w:r w:rsidRPr="00CF26B8">
        <w:t xml:space="preserve"> in </w:t>
      </w:r>
      <w:r w:rsidR="006239B8">
        <w:rPr>
          <w:rFonts w:cs="Tahoma"/>
          <w:color w:val="000000"/>
          <w:szCs w:val="20"/>
        </w:rPr>
        <w:t>2013</w:t>
      </w:r>
      <w:r w:rsidR="00E22AD5" w:rsidRPr="00CF26B8">
        <w:t xml:space="preserve">, </w:t>
      </w:r>
      <w:r w:rsidR="006239B8">
        <w:t>down</w:t>
      </w:r>
      <w:r w:rsidR="00E22AD5" w:rsidRPr="00CF26B8">
        <w:t xml:space="preserve"> considerably from </w:t>
      </w:r>
      <w:r w:rsidR="006239B8">
        <w:rPr>
          <w:rFonts w:cs="Tahoma"/>
          <w:color w:val="000000"/>
          <w:szCs w:val="20"/>
        </w:rPr>
        <w:t>2012</w:t>
      </w:r>
      <w:r w:rsidR="00E22AD5" w:rsidRPr="00CF26B8">
        <w:t xml:space="preserve"> </w:t>
      </w:r>
      <w:r w:rsidR="00CF26B8" w:rsidRPr="00CF26B8">
        <w:rPr>
          <w:rFonts w:cs="Tahoma"/>
          <w:color w:val="000000"/>
          <w:szCs w:val="20"/>
        </w:rPr>
        <w:t>net income</w:t>
      </w:r>
      <w:r w:rsidR="00E22AD5" w:rsidRPr="00CF26B8">
        <w:t xml:space="preserve"> of $</w:t>
      </w:r>
      <w:r w:rsidR="006239B8">
        <w:rPr>
          <w:rFonts w:cs="Tahoma"/>
          <w:color w:val="000000"/>
          <w:szCs w:val="20"/>
        </w:rPr>
        <w:t>9,019</w:t>
      </w:r>
      <w:r w:rsidR="00CF26B8" w:rsidRPr="00CF26B8">
        <w:rPr>
          <w:rFonts w:cs="Tahoma"/>
          <w:color w:val="000000"/>
          <w:szCs w:val="20"/>
        </w:rPr>
        <w:t xml:space="preserve"> </w:t>
      </w:r>
      <w:r w:rsidR="00126D6E" w:rsidRPr="00CF26B8">
        <w:t>million.</w:t>
      </w:r>
    </w:p>
    <w:p w:rsidR="00745EC9" w:rsidRPr="0060228C" w:rsidRDefault="00745EC9" w:rsidP="00E230D4">
      <w:pPr>
        <w:pStyle w:val="text"/>
        <w:rPr>
          <w:sz w:val="16"/>
          <w:szCs w:val="16"/>
        </w:rPr>
      </w:pPr>
    </w:p>
    <w:p w:rsidR="003902DC" w:rsidRDefault="003902DC" w:rsidP="00E230D4">
      <w:pPr>
        <w:pStyle w:val="text"/>
      </w:pPr>
      <w:r>
        <w:t>Statement of Cash Flows:</w:t>
      </w:r>
    </w:p>
    <w:p w:rsidR="003902DC" w:rsidRPr="00314E33" w:rsidRDefault="003902DC" w:rsidP="00314E33">
      <w:pPr>
        <w:pStyle w:val="textbulletedlist"/>
      </w:pPr>
      <w:r w:rsidRPr="00314E33">
        <w:t>Operating cash flows are very healthy: $</w:t>
      </w:r>
      <w:r w:rsidR="006239B8">
        <w:rPr>
          <w:szCs w:val="20"/>
        </w:rPr>
        <w:t>10,542</w:t>
      </w:r>
      <w:r w:rsidR="00314E33" w:rsidRPr="00314E33">
        <w:rPr>
          <w:szCs w:val="20"/>
        </w:rPr>
        <w:t xml:space="preserve"> </w:t>
      </w:r>
      <w:r w:rsidRPr="00314E33">
        <w:t xml:space="preserve">million, most of which comes from </w:t>
      </w:r>
      <w:r w:rsidR="00314E33" w:rsidRPr="00314E33">
        <w:rPr>
          <w:szCs w:val="20"/>
        </w:rPr>
        <w:t>net income</w:t>
      </w:r>
      <w:r w:rsidRPr="00314E33">
        <w:t xml:space="preserve"> plus the depreciation and amortization addback.</w:t>
      </w:r>
    </w:p>
    <w:p w:rsidR="003902DC" w:rsidRPr="00314E33" w:rsidRDefault="003902DC" w:rsidP="00314E33">
      <w:pPr>
        <w:pStyle w:val="textbulletedlist"/>
      </w:pPr>
      <w:r w:rsidRPr="00314E33">
        <w:t xml:space="preserve">Investing cash flows: </w:t>
      </w:r>
      <w:r w:rsidR="00314E33" w:rsidRPr="00314E33">
        <w:rPr>
          <w:szCs w:val="20"/>
        </w:rPr>
        <w:t>($4,</w:t>
      </w:r>
      <w:r w:rsidR="006239B8">
        <w:rPr>
          <w:szCs w:val="20"/>
        </w:rPr>
        <w:t>214</w:t>
      </w:r>
      <w:r w:rsidR="00314E33" w:rsidRPr="00314E33">
        <w:rPr>
          <w:szCs w:val="20"/>
        </w:rPr>
        <w:t xml:space="preserve"> </w:t>
      </w:r>
      <w:r w:rsidRPr="00314E33">
        <w:t>million</w:t>
      </w:r>
      <w:r w:rsidR="00314E33" w:rsidRPr="00314E33">
        <w:t>)</w:t>
      </w:r>
      <w:r w:rsidRPr="00314E33">
        <w:t>, primarily for additions to property, plant</w:t>
      </w:r>
      <w:r w:rsidR="00314E33" w:rsidRPr="00314E33">
        <w:t>,</w:t>
      </w:r>
      <w:r w:rsidRPr="00314E33">
        <w:t xml:space="preserve"> and equipment and (net) purchases of </w:t>
      </w:r>
      <w:r w:rsidR="002F3826" w:rsidRPr="00314E33">
        <w:t xml:space="preserve">other </w:t>
      </w:r>
      <w:r w:rsidRPr="00314E33">
        <w:t xml:space="preserve">investments. </w:t>
      </w:r>
    </w:p>
    <w:p w:rsidR="003902DC" w:rsidRPr="00314E33" w:rsidRDefault="003902DC" w:rsidP="00314E33">
      <w:pPr>
        <w:pStyle w:val="textbulletedlist"/>
      </w:pPr>
      <w:r w:rsidRPr="00314E33">
        <w:t xml:space="preserve">Financing cash flows: </w:t>
      </w:r>
      <w:r w:rsidR="00314E33" w:rsidRPr="00314E33">
        <w:rPr>
          <w:szCs w:val="20"/>
        </w:rPr>
        <w:t>($3,</w:t>
      </w:r>
      <w:r w:rsidR="006239B8">
        <w:rPr>
          <w:szCs w:val="20"/>
        </w:rPr>
        <w:t>745</w:t>
      </w:r>
      <w:r w:rsidR="00314E33" w:rsidRPr="00314E33">
        <w:rPr>
          <w:szCs w:val="20"/>
        </w:rPr>
        <w:t xml:space="preserve"> </w:t>
      </w:r>
      <w:r w:rsidRPr="00314E33">
        <w:t>million</w:t>
      </w:r>
      <w:r w:rsidR="00314E33" w:rsidRPr="00314E33">
        <w:t>)</w:t>
      </w:r>
      <w:r w:rsidRPr="00314E33">
        <w:t>, primarily for dividends a</w:t>
      </w:r>
      <w:r w:rsidR="00AA75BC" w:rsidRPr="00314E33">
        <w:t>nd repurchases of common stock</w:t>
      </w:r>
      <w:r w:rsidR="006239B8">
        <w:t>, net of roughly $4.7 billion in cash flows from net issuances of debt</w:t>
      </w:r>
      <w:r w:rsidR="00AA75BC" w:rsidRPr="00314E33">
        <w:t>.</w:t>
      </w:r>
    </w:p>
    <w:p w:rsidR="003902DC" w:rsidRPr="00314E33" w:rsidRDefault="003902DC" w:rsidP="00314E33">
      <w:pPr>
        <w:pStyle w:val="textbulletedlist"/>
      </w:pPr>
      <w:r w:rsidRPr="00314E33">
        <w:t xml:space="preserve">Cash balance </w:t>
      </w:r>
      <w:r w:rsidR="002F3826" w:rsidRPr="00314E33">
        <w:t>increased</w:t>
      </w:r>
      <w:r w:rsidR="006239B8">
        <w:t xml:space="preserve"> by $1,972 million</w:t>
      </w:r>
      <w:r w:rsidRPr="00314E33">
        <w:t xml:space="preserve"> in </w:t>
      </w:r>
      <w:r w:rsidR="006239B8">
        <w:rPr>
          <w:szCs w:val="20"/>
        </w:rPr>
        <w:t>2013</w:t>
      </w:r>
      <w:r w:rsidRPr="00314E33">
        <w:t>, from $</w:t>
      </w:r>
      <w:r w:rsidR="006239B8">
        <w:rPr>
          <w:szCs w:val="20"/>
        </w:rPr>
        <w:t>8,442</w:t>
      </w:r>
      <w:r w:rsidR="00314E33" w:rsidRPr="00314E33">
        <w:rPr>
          <w:szCs w:val="20"/>
        </w:rPr>
        <w:t xml:space="preserve"> </w:t>
      </w:r>
      <w:r w:rsidRPr="00314E33">
        <w:t>million to $</w:t>
      </w:r>
      <w:r w:rsidR="006239B8">
        <w:t>10,414</w:t>
      </w:r>
      <w:r w:rsidR="00D20BD6">
        <w:rPr>
          <w:szCs w:val="20"/>
        </w:rPr>
        <w:t xml:space="preserve"> </w:t>
      </w:r>
      <w:r w:rsidRPr="00314E33">
        <w:t>million.</w:t>
      </w:r>
    </w:p>
    <w:p w:rsidR="00762272" w:rsidRDefault="00762272" w:rsidP="00E230D4">
      <w:pPr>
        <w:pStyle w:val="text"/>
      </w:pPr>
    </w:p>
    <w:p w:rsidR="00745EC9" w:rsidRDefault="00745EC9">
      <w:pPr>
        <w:widowControl/>
        <w:autoSpaceDE/>
        <w:autoSpaceDN/>
        <w:adjustRightInd/>
        <w:rPr>
          <w:rFonts w:cs="Arial"/>
          <w:b/>
          <w:szCs w:val="22"/>
          <w:u w:val="single"/>
        </w:rPr>
      </w:pPr>
      <w:r>
        <w:rPr>
          <w:u w:val="single"/>
        </w:rPr>
        <w:br w:type="page"/>
      </w:r>
    </w:p>
    <w:p w:rsidR="00762272" w:rsidRDefault="00762272" w:rsidP="00A85F85">
      <w:pPr>
        <w:pStyle w:val="CaseAnswerHead"/>
      </w:pPr>
      <w:r w:rsidRPr="00762272">
        <w:rPr>
          <w:u w:val="single"/>
        </w:rPr>
        <w:lastRenderedPageBreak/>
        <w:t>C1-</w:t>
      </w:r>
      <w:r>
        <w:rPr>
          <w:u w:val="single"/>
        </w:rPr>
        <w:t>1</w:t>
      </w:r>
      <w:r w:rsidR="009A20DC">
        <w:rPr>
          <w:u w:val="single"/>
        </w:rPr>
        <w:t>0</w:t>
      </w:r>
    </w:p>
    <w:p w:rsidR="00B53299" w:rsidRPr="00762272" w:rsidRDefault="00B53299" w:rsidP="00E230D4">
      <w:pPr>
        <w:pStyle w:val="text"/>
        <w:rPr>
          <w:rFonts w:cs="Times"/>
          <w:b/>
        </w:rPr>
      </w:pPr>
    </w:p>
    <w:p w:rsidR="00364E0D" w:rsidRDefault="00364E0D" w:rsidP="00E230D4">
      <w:pPr>
        <w:pStyle w:val="text"/>
      </w:pPr>
      <w:r w:rsidRPr="00066840">
        <w:rPr>
          <w:i/>
        </w:rPr>
        <w:t>Note to Instructor:</w:t>
      </w:r>
      <w:r w:rsidR="00FE0D30">
        <w:t xml:space="preserve"> </w:t>
      </w:r>
      <w:r>
        <w:t>Listed below are some possible findings that students may discuss at each step in the moral reasoning process:</w:t>
      </w:r>
    </w:p>
    <w:p w:rsidR="00364E0D" w:rsidRDefault="00364E0D" w:rsidP="00E230D4">
      <w:pPr>
        <w:pStyle w:val="text"/>
      </w:pPr>
    </w:p>
    <w:p w:rsidR="00B815BD" w:rsidRDefault="00364E0D" w:rsidP="00B815BD">
      <w:pPr>
        <w:pStyle w:val="NumList"/>
      </w:pPr>
      <w:r>
        <w:t>I.</w:t>
      </w:r>
      <w:r>
        <w:tab/>
      </w:r>
      <w:r>
        <w:rPr>
          <w:u w:val="single"/>
        </w:rPr>
        <w:t>Gather facts</w:t>
      </w:r>
      <w:r>
        <w:t>:</w:t>
      </w:r>
      <w:r w:rsidR="00FE0D30">
        <w:t xml:space="preserve"> </w:t>
      </w:r>
      <w:r>
        <w:t>(A) What has occurred?</w:t>
      </w:r>
      <w:r w:rsidR="00FE0D30">
        <w:t xml:space="preserve"> </w:t>
      </w:r>
      <w:r>
        <w:t>(1) there is only one copy of the needed book, (2) everyone in my class is required to use the book to write a report, (3) the book has been intentionally misfiled.</w:t>
      </w:r>
      <w:r w:rsidR="00FE0D30">
        <w:t xml:space="preserve"> </w:t>
      </w:r>
      <w:r>
        <w:t>(B)</w:t>
      </w:r>
      <w:r w:rsidR="003E65A2">
        <w:t xml:space="preserve"> </w:t>
      </w:r>
      <w:r>
        <w:t>Who are the stakeholders?</w:t>
      </w:r>
      <w:r w:rsidR="00FE0D30">
        <w:t xml:space="preserve"> </w:t>
      </w:r>
      <w:r>
        <w:t>(1) me, (2) classmate who has misfiled the book, (3) other member</w:t>
      </w:r>
      <w:r w:rsidR="00AB02BF">
        <w:t>s</w:t>
      </w:r>
      <w:r>
        <w:t xml:space="preserve"> of the class, (4) the professor, (5) other students wanting to use the book, (6) library staff.</w:t>
      </w:r>
      <w:r w:rsidR="00FE0D30">
        <w:t xml:space="preserve"> </w:t>
      </w:r>
      <w:r>
        <w:t>(C) What are my responsibilities?</w:t>
      </w:r>
      <w:r w:rsidR="00FE0D30">
        <w:t xml:space="preserve"> </w:t>
      </w:r>
      <w:r>
        <w:t xml:space="preserve">(1) to write a report (2) to be socially responsible. </w:t>
      </w:r>
      <w:r w:rsidR="00AB02BF">
        <w:t xml:space="preserve">(D) How will my actions affect the stakeholders? My actions will affect the stakeholders who need to use the book, the professor who gave the assignment, the library staff, and the student who </w:t>
      </w:r>
      <w:r w:rsidR="00877D51">
        <w:t>“</w:t>
      </w:r>
      <w:r w:rsidR="00AB02BF">
        <w:t>misfiled</w:t>
      </w:r>
      <w:r w:rsidR="00877D51">
        <w:t>”</w:t>
      </w:r>
      <w:r w:rsidR="00AB02BF">
        <w:t xml:space="preserve"> the book. If I report the misfiling, my actions will likely help the other students and I prepare the assignment, will</w:t>
      </w:r>
      <w:r w:rsidR="00BF78F2">
        <w:t xml:space="preserve"> </w:t>
      </w:r>
      <w:r w:rsidR="00AB02BF">
        <w:t>help the professor and the library staff, and will likely incur negative consequences for the person who misfiled the book.</w:t>
      </w:r>
    </w:p>
    <w:p w:rsidR="00C54976" w:rsidRDefault="00C54976" w:rsidP="00B815BD">
      <w:pPr>
        <w:pStyle w:val="NumList"/>
        <w:rPr>
          <w:b/>
          <w:u w:val="single"/>
        </w:rPr>
      </w:pPr>
    </w:p>
    <w:p w:rsidR="00364E0D" w:rsidRPr="00F30DDD" w:rsidRDefault="00364E0D" w:rsidP="00F30DDD">
      <w:pPr>
        <w:pStyle w:val="NumList"/>
      </w:pPr>
      <w:r w:rsidRPr="00F30DDD">
        <w:t>II.</w:t>
      </w:r>
      <w:r w:rsidRPr="00F30DDD">
        <w:tab/>
      </w:r>
      <w:r w:rsidRPr="00CA4716">
        <w:rPr>
          <w:u w:val="single"/>
        </w:rPr>
        <w:t>Ask whether the action (my classmate misfiling the book) is acceptable according to ethical criteria</w:t>
      </w:r>
      <w:r w:rsidRPr="00CA4716">
        <w:t>:</w:t>
      </w:r>
      <w:r w:rsidR="00FE0D30" w:rsidRPr="00F30DDD">
        <w:t xml:space="preserve"> </w:t>
      </w:r>
      <w:r w:rsidRPr="00F30DDD">
        <w:t xml:space="preserve">(A) </w:t>
      </w:r>
      <w:r w:rsidR="00F30DDD" w:rsidRPr="00F30DDD">
        <w:rPr>
          <w:szCs w:val="20"/>
        </w:rPr>
        <w:t xml:space="preserve">How does the action affect </w:t>
      </w:r>
      <w:r w:rsidRPr="00F30DDD">
        <w:t>stakeholders?</w:t>
      </w:r>
      <w:r w:rsidR="00FE0D30" w:rsidRPr="00F30DDD">
        <w:t xml:space="preserve"> </w:t>
      </w:r>
      <w:r w:rsidRPr="00F30DDD">
        <w:t>(1) the classmate who misfiled the book can satisfactorily use the book without having to wait his turn, (2) I am unable to use the book to finish my report, (3)</w:t>
      </w:r>
      <w:r w:rsidR="00B53299" w:rsidRPr="00F30DDD">
        <w:t xml:space="preserve"> </w:t>
      </w:r>
      <w:r w:rsidRPr="00F30DDD">
        <w:t>the rest of the class cannot use the book to finish their reports, (4)</w:t>
      </w:r>
      <w:r w:rsidR="00B53299" w:rsidRPr="00F30DDD">
        <w:t xml:space="preserve"> </w:t>
      </w:r>
      <w:r w:rsidRPr="00F30DDD">
        <w:t>the professor cannot collect the assignment on the regularly scheduled due date, (5) others wanting to use the book cannot find it, (6)</w:t>
      </w:r>
      <w:r w:rsidR="00F30DDD" w:rsidRPr="00F30DDD">
        <w:t xml:space="preserve"> </w:t>
      </w:r>
      <w:r w:rsidRPr="00F30DDD">
        <w:t>library staff will be forced to search for the book.</w:t>
      </w:r>
      <w:r w:rsidR="00FE0D30" w:rsidRPr="00F30DDD">
        <w:t xml:space="preserve"> </w:t>
      </w:r>
      <w:r w:rsidRPr="00F30DDD">
        <w:t>(B)</w:t>
      </w:r>
      <w:r w:rsidR="00B53299" w:rsidRPr="00F30DDD">
        <w:t xml:space="preserve"> </w:t>
      </w:r>
      <w:r w:rsidRPr="00F30DDD">
        <w:t>Does the action respect the rights of all</w:t>
      </w:r>
      <w:r w:rsidR="00F30DDD" w:rsidRPr="00F30DDD">
        <w:rPr>
          <w:szCs w:val="20"/>
        </w:rPr>
        <w:t xml:space="preserve"> stakeholders</w:t>
      </w:r>
      <w:r w:rsidRPr="00F30DDD">
        <w:t>?</w:t>
      </w:r>
      <w:r w:rsidR="00FE0D30" w:rsidRPr="00F30DDD">
        <w:t xml:space="preserve"> </w:t>
      </w:r>
      <w:r w:rsidRPr="00F30DDD">
        <w:t xml:space="preserve">(1) the classmate who misfiled the book has the right to use the book, </w:t>
      </w:r>
      <w:r w:rsidR="00340212">
        <w:br/>
      </w:r>
      <w:r w:rsidRPr="00F30DDD">
        <w:t>(2) other members of the class as well as other students have the right to use the book, but cannot if it is misfiled, (3) the professor cannot exercise his/her right to set due dates and expect them to be adhered to, (4)</w:t>
      </w:r>
      <w:r w:rsidR="00B53299" w:rsidRPr="00F30DDD">
        <w:t xml:space="preserve"> </w:t>
      </w:r>
      <w:r w:rsidRPr="00F30DDD">
        <w:t>the library staff cannot effectively and efficiently perform its job.</w:t>
      </w:r>
      <w:r w:rsidR="00FE0D30" w:rsidRPr="00F30DDD">
        <w:t xml:space="preserve"> </w:t>
      </w:r>
      <w:r w:rsidRPr="00F30DDD">
        <w:t>(C)</w:t>
      </w:r>
      <w:r w:rsidR="00B53299" w:rsidRPr="00F30DDD">
        <w:t xml:space="preserve"> </w:t>
      </w:r>
      <w:r w:rsidRPr="00F30DDD">
        <w:t>Is the act fair and just?</w:t>
      </w:r>
      <w:r w:rsidR="00FE0D30" w:rsidRPr="00F30DDD">
        <w:t xml:space="preserve"> </w:t>
      </w:r>
      <w:r w:rsidRPr="00F30DDD">
        <w:t>(1) purposely preventing others from completing an assignment is not fair, (2) making it difficult for others to find a book is not just, (3) inhibiting the library staff</w:t>
      </w:r>
      <w:r w:rsidR="0077707C" w:rsidRPr="00F30DDD">
        <w:t>’</w:t>
      </w:r>
      <w:r w:rsidRPr="00F30DDD">
        <w:t>s ability to perform its job is not fair, (4) forcing the professor to accept late reports is not just.</w:t>
      </w:r>
    </w:p>
    <w:p w:rsidR="00364E0D" w:rsidRPr="00F30DDD" w:rsidRDefault="00364E0D" w:rsidP="00F30DDD">
      <w:pPr>
        <w:pStyle w:val="NumList"/>
      </w:pPr>
    </w:p>
    <w:p w:rsidR="00364E0D" w:rsidRDefault="00364E0D" w:rsidP="00B53299">
      <w:pPr>
        <w:pStyle w:val="NumList"/>
      </w:pPr>
      <w:r>
        <w:t>III.</w:t>
      </w:r>
      <w:r>
        <w:tab/>
      </w:r>
      <w:r>
        <w:rPr>
          <w:u w:val="single"/>
        </w:rPr>
        <w:t xml:space="preserve">Consider whether there are any overwhelming factors </w:t>
      </w:r>
      <w:r w:rsidR="00450B19">
        <w:rPr>
          <w:u w:val="single"/>
        </w:rPr>
        <w:t>that may justify disregarding any of the ethical criteria</w:t>
      </w:r>
      <w:r>
        <w:t>:</w:t>
      </w:r>
      <w:r w:rsidR="00FE0D30">
        <w:t xml:space="preserve"> </w:t>
      </w:r>
      <w:r>
        <w:t>In this situation, there do not appear to be overwhelming factors but students may bring up issues like:</w:t>
      </w:r>
      <w:r w:rsidR="00FE0D30">
        <w:t xml:space="preserve"> </w:t>
      </w:r>
      <w:r>
        <w:t>(1) classmate has full-time job, (2) classmate is disabled, (3) classmate has family (or other) obligations, (4) library has limited hours.</w:t>
      </w:r>
    </w:p>
    <w:p w:rsidR="00364E0D" w:rsidRDefault="00364E0D" w:rsidP="00B53299">
      <w:pPr>
        <w:pStyle w:val="NumList"/>
      </w:pPr>
    </w:p>
    <w:p w:rsidR="00364E0D" w:rsidRDefault="00364E0D" w:rsidP="00B53299">
      <w:pPr>
        <w:pStyle w:val="NumList"/>
      </w:pPr>
      <w:r>
        <w:t>IV.</w:t>
      </w:r>
      <w:r>
        <w:tab/>
      </w:r>
      <w:r>
        <w:rPr>
          <w:u w:val="single"/>
        </w:rPr>
        <w:t>Decide what ethical action to take</w:t>
      </w:r>
      <w:r>
        <w:t>:</w:t>
      </w:r>
      <w:r w:rsidR="00FE0D30">
        <w:t xml:space="preserve"> </w:t>
      </w:r>
      <w:r>
        <w:t xml:space="preserve">Students may decide on a number of </w:t>
      </w:r>
      <w:r w:rsidR="00340212">
        <w:br/>
      </w:r>
      <w:r>
        <w:t>alternative courses of action, including:</w:t>
      </w:r>
      <w:r w:rsidR="00FE0D30">
        <w:t xml:space="preserve"> </w:t>
      </w:r>
      <w:r>
        <w:t xml:space="preserve">(1) doing nothing, (2) discussing with classmate, (3) discussing with other students to exert pressure on classmate to refile book, </w:t>
      </w:r>
      <w:r w:rsidR="00340212">
        <w:br/>
      </w:r>
      <w:r>
        <w:t>(4) reporting to professor (in person or anonymously).</w:t>
      </w:r>
    </w:p>
    <w:p w:rsidR="00DB2E5D" w:rsidRDefault="00DB2E5D">
      <w:pPr>
        <w:widowControl/>
        <w:autoSpaceDE/>
        <w:autoSpaceDN/>
        <w:adjustRightInd/>
        <w:rPr>
          <w:rFonts w:cs="Arial"/>
          <w:b/>
          <w:szCs w:val="22"/>
          <w:u w:val="single"/>
        </w:rPr>
      </w:pPr>
    </w:p>
    <w:p w:rsidR="00745EC9" w:rsidRDefault="00745EC9">
      <w:pPr>
        <w:widowControl/>
        <w:autoSpaceDE/>
        <w:autoSpaceDN/>
        <w:adjustRightInd/>
        <w:rPr>
          <w:rFonts w:cs="Arial"/>
          <w:b/>
          <w:szCs w:val="22"/>
          <w:u w:val="single"/>
        </w:rPr>
      </w:pPr>
      <w:r>
        <w:rPr>
          <w:u w:val="single"/>
        </w:rPr>
        <w:br w:type="page"/>
      </w:r>
    </w:p>
    <w:p w:rsidR="00762272" w:rsidRDefault="00762272" w:rsidP="00A85F85">
      <w:pPr>
        <w:pStyle w:val="CaseAnswerHead"/>
      </w:pPr>
      <w:r w:rsidRPr="00762272">
        <w:rPr>
          <w:u w:val="single"/>
        </w:rPr>
        <w:lastRenderedPageBreak/>
        <w:t>C1-</w:t>
      </w:r>
      <w:r>
        <w:rPr>
          <w:u w:val="single"/>
        </w:rPr>
        <w:t>1</w:t>
      </w:r>
      <w:r w:rsidR="009A20DC">
        <w:rPr>
          <w:u w:val="single"/>
        </w:rPr>
        <w:t>1</w:t>
      </w:r>
    </w:p>
    <w:p w:rsidR="00B53299" w:rsidRPr="00762272" w:rsidRDefault="00B53299" w:rsidP="00E230D4">
      <w:pPr>
        <w:pStyle w:val="text"/>
        <w:rPr>
          <w:rFonts w:cs="Times"/>
          <w:b/>
        </w:rPr>
      </w:pPr>
    </w:p>
    <w:p w:rsidR="00364E0D" w:rsidRDefault="00364E0D" w:rsidP="00E230D4">
      <w:pPr>
        <w:pStyle w:val="text"/>
      </w:pPr>
      <w:r w:rsidRPr="00C54976">
        <w:rPr>
          <w:i/>
        </w:rPr>
        <w:t>Note to Instructor:</w:t>
      </w:r>
      <w:r w:rsidR="00FE0D30">
        <w:t xml:space="preserve"> </w:t>
      </w:r>
      <w:r>
        <w:t>Listed below are some possible findings that students may discuss at each step in the moral reasoning process:</w:t>
      </w:r>
    </w:p>
    <w:p w:rsidR="00364E0D" w:rsidRDefault="00364E0D" w:rsidP="00E230D4">
      <w:pPr>
        <w:pStyle w:val="text"/>
      </w:pPr>
    </w:p>
    <w:p w:rsidR="00364E0D" w:rsidRPr="00745EC9" w:rsidRDefault="00B53299" w:rsidP="00B53299">
      <w:pPr>
        <w:pStyle w:val="NumList"/>
        <w:rPr>
          <w:spacing w:val="-1"/>
        </w:rPr>
      </w:pPr>
      <w:r w:rsidRPr="00B53299">
        <w:t>I.</w:t>
      </w:r>
      <w:r w:rsidRPr="00B53299">
        <w:tab/>
      </w:r>
      <w:r w:rsidR="00364E0D" w:rsidRPr="00745EC9">
        <w:rPr>
          <w:spacing w:val="-1"/>
          <w:u w:val="single"/>
        </w:rPr>
        <w:t>Gather facts</w:t>
      </w:r>
      <w:r w:rsidR="00364E0D" w:rsidRPr="00745EC9">
        <w:rPr>
          <w:spacing w:val="-1"/>
        </w:rPr>
        <w:t>:</w:t>
      </w:r>
      <w:r w:rsidR="00FE0D30" w:rsidRPr="00745EC9">
        <w:rPr>
          <w:spacing w:val="-1"/>
        </w:rPr>
        <w:t xml:space="preserve"> </w:t>
      </w:r>
      <w:r w:rsidR="00364E0D" w:rsidRPr="00745EC9">
        <w:rPr>
          <w:spacing w:val="-1"/>
        </w:rPr>
        <w:t>(A) What has occurred?</w:t>
      </w:r>
      <w:r w:rsidR="00FE0D30" w:rsidRPr="00745EC9">
        <w:rPr>
          <w:spacing w:val="-1"/>
        </w:rPr>
        <w:t xml:space="preserve"> </w:t>
      </w:r>
      <w:r w:rsidR="00364E0D" w:rsidRPr="00745EC9">
        <w:rPr>
          <w:spacing w:val="-1"/>
        </w:rPr>
        <w:t>(1) my friend copied an answer, (2)</w:t>
      </w:r>
      <w:r w:rsidRPr="00745EC9">
        <w:rPr>
          <w:spacing w:val="-1"/>
        </w:rPr>
        <w:t xml:space="preserve"> </w:t>
      </w:r>
      <w:r w:rsidR="00364E0D" w:rsidRPr="00745EC9">
        <w:rPr>
          <w:spacing w:val="-1"/>
        </w:rPr>
        <w:t>she received an A on the test, (3) I received a B on the test, (4)</w:t>
      </w:r>
      <w:r w:rsidR="00164E49" w:rsidRPr="00745EC9">
        <w:rPr>
          <w:spacing w:val="-1"/>
        </w:rPr>
        <w:t xml:space="preserve"> </w:t>
      </w:r>
      <w:r w:rsidR="00364E0D" w:rsidRPr="00745EC9">
        <w:rPr>
          <w:spacing w:val="-1"/>
        </w:rPr>
        <w:t>our professor is unaware that she cheated, (5) I am aware that she cheated.</w:t>
      </w:r>
      <w:r w:rsidR="00FE0D30" w:rsidRPr="00745EC9">
        <w:rPr>
          <w:spacing w:val="-1"/>
        </w:rPr>
        <w:t xml:space="preserve"> </w:t>
      </w:r>
      <w:r w:rsidR="00364E0D" w:rsidRPr="00745EC9">
        <w:rPr>
          <w:spacing w:val="-1"/>
        </w:rPr>
        <w:t>(B) Who are the stakeholders</w:t>
      </w:r>
      <w:r w:rsidR="007C18DD" w:rsidRPr="00745EC9">
        <w:rPr>
          <w:spacing w:val="-1"/>
        </w:rPr>
        <w:t>?</w:t>
      </w:r>
      <w:r w:rsidR="00FE0D30" w:rsidRPr="00745EC9">
        <w:rPr>
          <w:spacing w:val="-1"/>
        </w:rPr>
        <w:t xml:space="preserve"> </w:t>
      </w:r>
      <w:r w:rsidR="00364E0D" w:rsidRPr="00745EC9">
        <w:rPr>
          <w:spacing w:val="-1"/>
        </w:rPr>
        <w:t>(1) my friend who cheated, (2)</w:t>
      </w:r>
      <w:r w:rsidR="00164E49" w:rsidRPr="00745EC9">
        <w:rPr>
          <w:spacing w:val="-1"/>
        </w:rPr>
        <w:t xml:space="preserve"> </w:t>
      </w:r>
      <w:r w:rsidR="00364E0D" w:rsidRPr="00745EC9">
        <w:rPr>
          <w:spacing w:val="-1"/>
        </w:rPr>
        <w:t>me, (3) student from whom my friend copied the answer, (4)</w:t>
      </w:r>
      <w:r w:rsidR="00164E49" w:rsidRPr="00745EC9">
        <w:rPr>
          <w:spacing w:val="-1"/>
        </w:rPr>
        <w:t xml:space="preserve"> </w:t>
      </w:r>
      <w:r w:rsidR="00364E0D" w:rsidRPr="00745EC9">
        <w:rPr>
          <w:spacing w:val="-1"/>
        </w:rPr>
        <w:t>our professor, (5) other members of the class, (6) all students in other sections of the same course, (7) all accounting students at my school who have taken the same class, (8) all students who will be competing with my friend for jobs, (9) all accountants, (10) company that hires her.</w:t>
      </w:r>
      <w:r w:rsidR="00FE0D30" w:rsidRPr="00745EC9">
        <w:rPr>
          <w:spacing w:val="-1"/>
        </w:rPr>
        <w:t xml:space="preserve"> </w:t>
      </w:r>
      <w:r w:rsidR="00450B19" w:rsidRPr="00745EC9">
        <w:rPr>
          <w:spacing w:val="-1"/>
        </w:rPr>
        <w:t>(C) What are my responsibilities? (1) to take the examination honestly (2) to be socially responsible. (D) How will my actions affect the stakeholders? My actions will affect the stakeholders involved with the exam: the professor who gave the exam, the students who took the exam and did not cheat, including me, the student who cheated on the exam; and the other stakeholders who evaluate (and hire) students based on their academic performance, including results on exams. If I report the cheating, my actions will likely help the professor, the other students and I to be evaluated fairly on this exam, and will likely incur negative consequences for the person who cheated.</w:t>
      </w:r>
    </w:p>
    <w:p w:rsidR="00E80AA8" w:rsidRPr="0027430D" w:rsidRDefault="00E80AA8" w:rsidP="00E80AA8">
      <w:pPr>
        <w:pStyle w:val="text"/>
        <w:rPr>
          <w:rFonts w:cs="Times"/>
          <w:b/>
          <w:sz w:val="16"/>
          <w:szCs w:val="16"/>
        </w:rPr>
      </w:pPr>
    </w:p>
    <w:p w:rsidR="00364E0D" w:rsidRPr="00C012E9" w:rsidRDefault="00364E0D" w:rsidP="00C012E9">
      <w:pPr>
        <w:pStyle w:val="NumList"/>
      </w:pPr>
      <w:r w:rsidRPr="00C012E9">
        <w:t>II.</w:t>
      </w:r>
      <w:r w:rsidRPr="00C012E9">
        <w:tab/>
      </w:r>
      <w:r w:rsidRPr="00C012E9">
        <w:rPr>
          <w:u w:val="single"/>
        </w:rPr>
        <w:t>Ask whether the action (my friend</w:t>
      </w:r>
      <w:r w:rsidR="0077707C" w:rsidRPr="00C012E9">
        <w:rPr>
          <w:u w:val="single"/>
        </w:rPr>
        <w:t>’</w:t>
      </w:r>
      <w:r w:rsidRPr="00C012E9">
        <w:rPr>
          <w:u w:val="single"/>
        </w:rPr>
        <w:t>s cheating) is acceptable according to ethical criteria</w:t>
      </w:r>
      <w:r w:rsidRPr="00C012E9">
        <w:t>:</w:t>
      </w:r>
      <w:r w:rsidR="00FE0D30" w:rsidRPr="00C012E9">
        <w:t xml:space="preserve"> </w:t>
      </w:r>
      <w:r w:rsidRPr="00C012E9">
        <w:t xml:space="preserve">(A) </w:t>
      </w:r>
      <w:r w:rsidR="000E67CA" w:rsidRPr="00C012E9">
        <w:rPr>
          <w:rFonts w:cs="Tahoma"/>
          <w:color w:val="000000"/>
          <w:szCs w:val="20"/>
        </w:rPr>
        <w:t xml:space="preserve">How does the action affect </w:t>
      </w:r>
      <w:r w:rsidRPr="00C012E9">
        <w:t>all stakeholders?</w:t>
      </w:r>
      <w:r w:rsidR="00FE0D30" w:rsidRPr="00C012E9">
        <w:t xml:space="preserve"> </w:t>
      </w:r>
      <w:r w:rsidRPr="00C012E9">
        <w:t>(1) her copying led to a short-term satisfaction in the form of an A.</w:t>
      </w:r>
      <w:r w:rsidR="00FE0D30" w:rsidRPr="00C012E9">
        <w:t xml:space="preserve"> </w:t>
      </w:r>
      <w:r w:rsidRPr="00C012E9">
        <w:t>However, in the long</w:t>
      </w:r>
      <w:r w:rsidR="007C18DD">
        <w:t xml:space="preserve"> </w:t>
      </w:r>
      <w:r w:rsidRPr="00C012E9">
        <w:t xml:space="preserve">run, this A may prove to be harmful to her if she views the A as a reward for cheating and continues to cheat in </w:t>
      </w:r>
      <w:r w:rsidR="00340212">
        <w:br/>
      </w:r>
      <w:r w:rsidRPr="00C012E9">
        <w:t xml:space="preserve">the future, (2) my receipt of a lower grade puts her at an unfair advantage over me, </w:t>
      </w:r>
      <w:r w:rsidR="00340212">
        <w:br/>
      </w:r>
      <w:r w:rsidRPr="00C012E9">
        <w:t>(3) others in the class who received the same grade as her had to rely on their own effort and intelligence, whereas she was rewarded with the same grade for relying on someone else</w:t>
      </w:r>
      <w:r w:rsidR="0077707C" w:rsidRPr="00C012E9">
        <w:t>’</w:t>
      </w:r>
      <w:r w:rsidRPr="00C012E9">
        <w:t>s work, (4) others in the class who received a lower grade than her are at a disadvantage to her even though they may be equally intelligent, (5) because recruiters compare the grades of all their applicants, she will appear more qualified because her A will cause her GPA to increase, (6) the professor may be placed in a position of giving her a higher recommendation than warranted, (7) her future employer may be depending on higher qualifications than she has.</w:t>
      </w:r>
      <w:r w:rsidR="00FE0D30" w:rsidRPr="00C012E9">
        <w:t xml:space="preserve"> </w:t>
      </w:r>
      <w:r w:rsidRPr="00C012E9">
        <w:t>(B)</w:t>
      </w:r>
      <w:r w:rsidR="00FE0D30" w:rsidRPr="00C012E9">
        <w:t xml:space="preserve"> </w:t>
      </w:r>
      <w:r w:rsidRPr="00C012E9">
        <w:t>Does the action respect the rights of all</w:t>
      </w:r>
      <w:r w:rsidR="000E67CA" w:rsidRPr="00C012E9">
        <w:rPr>
          <w:rFonts w:cs="Tahoma"/>
          <w:color w:val="000000"/>
          <w:szCs w:val="20"/>
        </w:rPr>
        <w:t xml:space="preserve"> stakeholders</w:t>
      </w:r>
      <w:r w:rsidRPr="00C012E9">
        <w:t>?</w:t>
      </w:r>
      <w:r w:rsidR="00FE0D30" w:rsidRPr="00C012E9">
        <w:t xml:space="preserve"> </w:t>
      </w:r>
      <w:r w:rsidRPr="00C012E9">
        <w:t xml:space="preserve">(1) my friend forfeited her right to a good grade by cheating, (2) others in the class had their rights violated because they can no longer compete fairly, (3) the professor can no longer exercise his/her right to distribute grades fairly, </w:t>
      </w:r>
      <w:r w:rsidR="00340212">
        <w:br/>
      </w:r>
      <w:r w:rsidRPr="00C012E9">
        <w:t>(4) recruiters cannot exercise their right to use GPA as a quantitatively reliable guide for selecting employees.</w:t>
      </w:r>
      <w:r w:rsidR="00FE0D30" w:rsidRPr="00C012E9">
        <w:t xml:space="preserve"> </w:t>
      </w:r>
      <w:r w:rsidRPr="00C012E9">
        <w:t>(C)</w:t>
      </w:r>
      <w:r w:rsidR="00B53299" w:rsidRPr="00C012E9">
        <w:t xml:space="preserve"> </w:t>
      </w:r>
      <w:r w:rsidRPr="00C012E9">
        <w:t>Is the act fair and just?</w:t>
      </w:r>
      <w:r w:rsidR="00FE0D30" w:rsidRPr="00C012E9">
        <w:t xml:space="preserve"> </w:t>
      </w:r>
      <w:r w:rsidRPr="00C012E9">
        <w:t>(1) cheating is not generally accepted as being fair, (2) receiving a better grade through deceit is not just, (3) having an advantage in recruiting due to dishonesty is not fair.</w:t>
      </w:r>
    </w:p>
    <w:p w:rsidR="00C54976" w:rsidRPr="0027430D" w:rsidRDefault="00C54976" w:rsidP="00C012E9">
      <w:pPr>
        <w:pStyle w:val="NumList"/>
        <w:rPr>
          <w:sz w:val="16"/>
          <w:szCs w:val="16"/>
        </w:rPr>
      </w:pPr>
    </w:p>
    <w:p w:rsidR="00364E0D" w:rsidRDefault="00364E0D" w:rsidP="00B53299">
      <w:pPr>
        <w:pStyle w:val="NumList"/>
      </w:pPr>
      <w:r>
        <w:t>III.</w:t>
      </w:r>
      <w:r>
        <w:tab/>
      </w:r>
      <w:r w:rsidR="00F132D7">
        <w:rPr>
          <w:u w:val="single"/>
        </w:rPr>
        <w:t>Consider whether there are any overwhelming factors that may justify disregarding any of the ethical criteria</w:t>
      </w:r>
      <w:r w:rsidR="00F132D7">
        <w:t>:</w:t>
      </w:r>
      <w:r w:rsidR="00FE0D30">
        <w:t xml:space="preserve"> </w:t>
      </w:r>
      <w:r>
        <w:t>In this situation, there do not appear to be overwhelming factors but students may bring up issues like:</w:t>
      </w:r>
      <w:r w:rsidR="00FE0D30">
        <w:t xml:space="preserve"> </w:t>
      </w:r>
      <w:r>
        <w:t>(1) friend has full-time job, (2)</w:t>
      </w:r>
      <w:r w:rsidR="00B53299">
        <w:t xml:space="preserve"> </w:t>
      </w:r>
      <w:r>
        <w:t xml:space="preserve">friend is disabled, </w:t>
      </w:r>
      <w:r w:rsidR="00340212">
        <w:br/>
      </w:r>
      <w:r>
        <w:t>(3) friend has family (or other) obligations, (4) friend was sick before class, (5) friend was an athlete.</w:t>
      </w:r>
    </w:p>
    <w:p w:rsidR="00364E0D" w:rsidRPr="0027430D" w:rsidRDefault="00364E0D" w:rsidP="00B53299">
      <w:pPr>
        <w:pStyle w:val="NumList"/>
        <w:rPr>
          <w:sz w:val="16"/>
          <w:szCs w:val="16"/>
        </w:rPr>
      </w:pPr>
    </w:p>
    <w:p w:rsidR="00364E0D" w:rsidRDefault="00364E0D" w:rsidP="00B53299">
      <w:pPr>
        <w:pStyle w:val="NumList"/>
      </w:pPr>
      <w:r>
        <w:t>IV.</w:t>
      </w:r>
      <w:r>
        <w:tab/>
      </w:r>
      <w:r>
        <w:rPr>
          <w:u w:val="single"/>
        </w:rPr>
        <w:t>Decide what ethical action to take</w:t>
      </w:r>
      <w:r>
        <w:t>:</w:t>
      </w:r>
      <w:r w:rsidR="00FE0D30">
        <w:t xml:space="preserve"> </w:t>
      </w:r>
      <w:r>
        <w:t>Students may decide on a number of alternative courses of action, including:</w:t>
      </w:r>
      <w:r w:rsidR="00FE0D30">
        <w:t xml:space="preserve"> </w:t>
      </w:r>
      <w:r>
        <w:t>(1) doing nothing, (2)</w:t>
      </w:r>
      <w:r w:rsidR="00B53299">
        <w:t xml:space="preserve"> </w:t>
      </w:r>
      <w:r>
        <w:t>discussing with friend, (3) discussing with student from whom friend copied (or other students) to exert pressure on friend to confess action to professor, (4) reporting to professor (in person or anonymously).</w:t>
      </w:r>
    </w:p>
    <w:p w:rsidR="00B815BD" w:rsidRPr="00745EC9" w:rsidRDefault="00B815BD" w:rsidP="00E230D4">
      <w:pPr>
        <w:pStyle w:val="text"/>
        <w:rPr>
          <w:sz w:val="4"/>
          <w:szCs w:val="4"/>
        </w:rPr>
      </w:pPr>
    </w:p>
    <w:p w:rsidR="00B815BD" w:rsidRPr="00845F85" w:rsidRDefault="00B815BD" w:rsidP="00B815BD">
      <w:pPr>
        <w:pStyle w:val="SubHeading"/>
      </w:pPr>
      <w:r w:rsidRPr="00845F85">
        <w:lastRenderedPageBreak/>
        <w:t>ANSWERS TO USING CODIFICATION</w:t>
      </w:r>
    </w:p>
    <w:p w:rsidR="00B815BD" w:rsidRPr="00845F85" w:rsidRDefault="00B815BD" w:rsidP="00B815BD">
      <w:pPr>
        <w:pStyle w:val="text"/>
      </w:pPr>
    </w:p>
    <w:p w:rsidR="00762272" w:rsidRPr="00A85F85" w:rsidRDefault="00762272" w:rsidP="009A3AB0">
      <w:pPr>
        <w:pStyle w:val="text"/>
        <w:rPr>
          <w:b/>
          <w:u w:val="single"/>
        </w:rPr>
      </w:pPr>
      <w:r w:rsidRPr="00A85F85">
        <w:rPr>
          <w:b/>
          <w:u w:val="single"/>
        </w:rPr>
        <w:t>C1-</w:t>
      </w:r>
      <w:r w:rsidR="00B3255F" w:rsidRPr="00A85F85">
        <w:rPr>
          <w:b/>
          <w:u w:val="single"/>
        </w:rPr>
        <w:t>1</w:t>
      </w:r>
      <w:r w:rsidR="00742904">
        <w:rPr>
          <w:b/>
          <w:u w:val="single"/>
        </w:rPr>
        <w:t>2</w:t>
      </w:r>
    </w:p>
    <w:p w:rsidR="00B53299" w:rsidRPr="00C012E9" w:rsidRDefault="00B53299" w:rsidP="009A3AB0">
      <w:pPr>
        <w:pStyle w:val="text"/>
      </w:pPr>
    </w:p>
    <w:p w:rsidR="009C0C56" w:rsidRDefault="00732D1D" w:rsidP="00C012E9">
      <w:pPr>
        <w:pStyle w:val="text"/>
      </w:pPr>
      <w:r w:rsidRPr="00C54976">
        <w:rPr>
          <w:rFonts w:cs="Tahoma"/>
          <w:i/>
          <w:color w:val="000000"/>
          <w:szCs w:val="20"/>
        </w:rPr>
        <w:t>Note to Instructor:</w:t>
      </w:r>
      <w:r w:rsidRPr="00C012E9">
        <w:rPr>
          <w:rFonts w:cs="Tahoma"/>
          <w:color w:val="000000"/>
          <w:szCs w:val="20"/>
        </w:rPr>
        <w:t xml:space="preserve"> Students are expected to cite references to GAAP in their research of this issue. While they might use various sources to conduct their research, the</w:t>
      </w:r>
      <w:r w:rsidRPr="00C012E9">
        <w:rPr>
          <w:rFonts w:cs="Tahoma"/>
          <w:i/>
          <w:iCs/>
          <w:color w:val="000000"/>
          <w:szCs w:val="20"/>
        </w:rPr>
        <w:t xml:space="preserve"> FASB Accounting Standards Codification</w:t>
      </w:r>
      <w:r w:rsidR="00845F85">
        <w:rPr>
          <w:rFonts w:cs="Tahoma"/>
          <w:i/>
          <w:iCs/>
          <w:color w:val="000000"/>
          <w:szCs w:val="20"/>
        </w:rPr>
        <w:t>,</w:t>
      </w:r>
      <w:r w:rsidRPr="00C012E9">
        <w:rPr>
          <w:rFonts w:cs="Tahoma"/>
          <w:color w:val="000000"/>
          <w:szCs w:val="20"/>
        </w:rPr>
        <w:t xml:space="preserve"> </w:t>
      </w:r>
      <w:r w:rsidR="00B815BD">
        <w:rPr>
          <w:rFonts w:cs="Tahoma"/>
          <w:color w:val="000000"/>
          <w:szCs w:val="20"/>
        </w:rPr>
        <w:t xml:space="preserve">which </w:t>
      </w:r>
      <w:r w:rsidRPr="00C012E9">
        <w:rPr>
          <w:rFonts w:cs="Tahoma"/>
          <w:color w:val="000000"/>
          <w:szCs w:val="20"/>
        </w:rPr>
        <w:t>is the primary source of GAAP</w:t>
      </w:r>
      <w:r w:rsidR="00B815BD">
        <w:t>, is cited.</w:t>
      </w:r>
    </w:p>
    <w:p w:rsidR="009C0C56" w:rsidRDefault="009C0C56" w:rsidP="00C012E9">
      <w:pPr>
        <w:pStyle w:val="text"/>
      </w:pPr>
    </w:p>
    <w:p w:rsidR="009A3AB0" w:rsidRPr="0027430D" w:rsidRDefault="00255EDC" w:rsidP="0027430D">
      <w:pPr>
        <w:pStyle w:val="text"/>
      </w:pPr>
      <w:r w:rsidRPr="00C012E9">
        <w:t xml:space="preserve">The </w:t>
      </w:r>
      <w:r w:rsidRPr="00C012E9">
        <w:rPr>
          <w:i/>
        </w:rPr>
        <w:t>FASB Accounting Standards Codification</w:t>
      </w:r>
      <w:r w:rsidRPr="00C012E9">
        <w:t xml:space="preserve"> is an electronic database that integrates and topically organizes the U.S. accounting standards (GAAP). The Codification is important because it is the </w:t>
      </w:r>
      <w:r w:rsidRPr="00C012E9">
        <w:rPr>
          <w:i/>
        </w:rPr>
        <w:t>only</w:t>
      </w:r>
      <w:r w:rsidRPr="00C012E9">
        <w:t xml:space="preserve"> source of authoritative U.S. GAAP for companies to determine how to record their transactions, events, or circumstances, and how to report the results in their financial statements. (An exception to this statement </w:t>
      </w:r>
      <w:r w:rsidR="007C18DD">
        <w:t>is</w:t>
      </w:r>
      <w:r w:rsidRPr="00C012E9">
        <w:t xml:space="preserve"> the rules and interpretive releases of the SEC which are sources of authoritative GAAP for publicly</w:t>
      </w:r>
      <w:r w:rsidR="009A3AB0">
        <w:t xml:space="preserve"> </w:t>
      </w:r>
      <w:r w:rsidRPr="00C012E9">
        <w:t>traded companies that are required to file their financial statements with the SEC. For convenience, the Codification includes selected portions of GAAP issued by the SEC for publicly</w:t>
      </w:r>
      <w:r w:rsidR="009A3AB0">
        <w:t xml:space="preserve"> </w:t>
      </w:r>
      <w:r w:rsidRPr="00C012E9">
        <w:t>traded companies. The Codification, however, does not contain all of the SEC</w:t>
      </w:r>
      <w:r w:rsidR="0077707C" w:rsidRPr="00C012E9">
        <w:t>’</w:t>
      </w:r>
      <w:r w:rsidRPr="00C012E9">
        <w:t>s rules and regulations that constitute GAAP.)</w:t>
      </w:r>
    </w:p>
    <w:p w:rsidR="009A3AB0" w:rsidRPr="00B53299" w:rsidRDefault="009A3AB0" w:rsidP="009A3AB0">
      <w:pPr>
        <w:pStyle w:val="text"/>
        <w:rPr>
          <w:rFonts w:cs="Times"/>
        </w:rPr>
      </w:pPr>
    </w:p>
    <w:p w:rsidR="00732D1D" w:rsidRPr="00F82EDD" w:rsidRDefault="00255EDC" w:rsidP="00875828">
      <w:pPr>
        <w:pStyle w:val="text"/>
      </w:pPr>
      <w:r w:rsidRPr="00C16A9F">
        <w:t xml:space="preserve">The Codification is located at </w:t>
      </w:r>
      <w:hyperlink r:id="rId9" w:history="1">
        <w:r w:rsidRPr="00C16A9F">
          <w:rPr>
            <w:rStyle w:val="Hyperlink"/>
            <w:color w:val="auto"/>
          </w:rPr>
          <w:t>http://asc.fasb.org</w:t>
        </w:r>
      </w:hyperlink>
      <w:r w:rsidRPr="00C16A9F">
        <w:t xml:space="preserve"> (or, if your institution participates in the American Accounting Association academic access initiate, at </w:t>
      </w:r>
      <w:hyperlink r:id="rId10" w:history="1">
        <w:r w:rsidR="00BC564E" w:rsidRPr="00C16A9F">
          <w:rPr>
            <w:rStyle w:val="Hyperlink"/>
            <w:color w:val="auto"/>
          </w:rPr>
          <w:t>http://aaahq.org/ascLogin.</w:t>
        </w:r>
        <w:r w:rsidR="00BC564E" w:rsidRPr="00C16A9F">
          <w:rPr>
            <w:rStyle w:val="Hyperlink"/>
            <w:color w:val="auto"/>
          </w:rPr>
          <w:br/>
          <w:t>cfm</w:t>
        </w:r>
      </w:hyperlink>
      <w:r w:rsidRPr="00C16A9F">
        <w:t xml:space="preserve">). All users must register before they can log in. After logging in, the </w:t>
      </w:r>
      <w:r w:rsidR="00877D51" w:rsidRPr="00C16A9F">
        <w:t>“</w:t>
      </w:r>
      <w:r w:rsidRPr="00C16A9F">
        <w:t>home page</w:t>
      </w:r>
      <w:r w:rsidR="00877D51" w:rsidRPr="00C16A9F">
        <w:t>”</w:t>
      </w:r>
      <w:r w:rsidRPr="00C16A9F">
        <w:t xml:space="preserve"> provides a notice to constituents, links to tutorials, instructions on how to </w:t>
      </w:r>
      <w:r w:rsidR="00877D51" w:rsidRPr="00C16A9F">
        <w:t>“</w:t>
      </w:r>
      <w:r w:rsidRPr="00C16A9F">
        <w:t>join sections,</w:t>
      </w:r>
      <w:r w:rsidR="00877D51" w:rsidRPr="00C16A9F">
        <w:t>”</w:t>
      </w:r>
      <w:r w:rsidRPr="00C16A9F">
        <w:t xml:space="preserve"> and explanations of how to cross reference the Codification sections to the original pronouncements. The framework of the Codification contains six components or levels: (1) Areas, (2) Topics, (3) Subtopics, (4) Sections, (5) Subsections, and (6) Paragraphs containing GAAP. The </w:t>
      </w:r>
      <w:r w:rsidRPr="00C16A9F">
        <w:rPr>
          <w:i/>
        </w:rPr>
        <w:t>Areas</w:t>
      </w:r>
      <w:r w:rsidRPr="00C16A9F">
        <w:t xml:space="preserve"> component is located on the left side of the home page, and contains links to </w:t>
      </w:r>
      <w:r w:rsidR="00F5761C" w:rsidRPr="00C16A9F">
        <w:t xml:space="preserve">nine broad </w:t>
      </w:r>
      <w:r w:rsidRPr="00C16A9F">
        <w:t>accounting subjects which include</w:t>
      </w:r>
      <w:r w:rsidR="00F5761C" w:rsidRPr="00C16A9F">
        <w:t xml:space="preserve"> General Principles, Presentation,</w:t>
      </w:r>
      <w:r w:rsidR="00FE0D30" w:rsidRPr="00C16A9F">
        <w:t xml:space="preserve"> </w:t>
      </w:r>
      <w:r w:rsidRPr="00C16A9F">
        <w:rPr>
          <w:i/>
        </w:rPr>
        <w:t>Assets</w:t>
      </w:r>
      <w:r w:rsidRPr="00C16A9F">
        <w:t xml:space="preserve">, </w:t>
      </w:r>
      <w:r w:rsidRPr="00C16A9F">
        <w:rPr>
          <w:i/>
        </w:rPr>
        <w:t>Liabilities</w:t>
      </w:r>
      <w:r w:rsidRPr="00C16A9F">
        <w:t xml:space="preserve">, </w:t>
      </w:r>
      <w:r w:rsidRPr="00C16A9F">
        <w:rPr>
          <w:i/>
        </w:rPr>
        <w:t>Equity</w:t>
      </w:r>
      <w:r w:rsidRPr="00C16A9F">
        <w:t xml:space="preserve">, </w:t>
      </w:r>
      <w:r w:rsidRPr="00C16A9F">
        <w:rPr>
          <w:i/>
        </w:rPr>
        <w:t>Revenue</w:t>
      </w:r>
      <w:r w:rsidRPr="00C16A9F">
        <w:t xml:space="preserve">, </w:t>
      </w:r>
      <w:r w:rsidRPr="00C16A9F">
        <w:rPr>
          <w:i/>
        </w:rPr>
        <w:t>Expenses</w:t>
      </w:r>
      <w:r w:rsidRPr="00C16A9F">
        <w:t xml:space="preserve">, </w:t>
      </w:r>
      <w:r w:rsidRPr="00C16A9F">
        <w:rPr>
          <w:i/>
        </w:rPr>
        <w:t>Broad Transactions</w:t>
      </w:r>
      <w:r w:rsidRPr="00C16A9F">
        <w:t xml:space="preserve">, and </w:t>
      </w:r>
      <w:r w:rsidRPr="00C16A9F">
        <w:rPr>
          <w:i/>
        </w:rPr>
        <w:t>Industry</w:t>
      </w:r>
      <w:r w:rsidRPr="00C16A9F">
        <w:t xml:space="preserve">, along with a </w:t>
      </w:r>
      <w:r w:rsidRPr="00C16A9F">
        <w:rPr>
          <w:i/>
        </w:rPr>
        <w:t>Master Glossary</w:t>
      </w:r>
      <w:r w:rsidRPr="00C16A9F">
        <w:t xml:space="preserve"> link and a </w:t>
      </w:r>
      <w:r w:rsidR="00877D51" w:rsidRPr="00C16A9F">
        <w:t>“</w:t>
      </w:r>
      <w:r w:rsidRPr="00C16A9F">
        <w:rPr>
          <w:i/>
        </w:rPr>
        <w:t>Go To</w:t>
      </w:r>
      <w:r w:rsidR="00877D51" w:rsidRPr="00C16A9F">
        <w:t>”</w:t>
      </w:r>
      <w:r w:rsidRPr="00C16A9F">
        <w:t xml:space="preserve"> box for users</w:t>
      </w:r>
      <w:r w:rsidRPr="00F82EDD">
        <w:t xml:space="preserve"> familiar with the Codification numbering system.</w:t>
      </w:r>
    </w:p>
    <w:p w:rsidR="005F59DE" w:rsidRDefault="005F59DE">
      <w:pPr>
        <w:widowControl/>
        <w:autoSpaceDE/>
        <w:autoSpaceDN/>
        <w:adjustRightInd/>
        <w:rPr>
          <w:rFonts w:cs="Arial"/>
          <w:szCs w:val="22"/>
        </w:rPr>
      </w:pPr>
    </w:p>
    <w:p w:rsidR="00255EDC" w:rsidRDefault="00255EDC" w:rsidP="00E230D4">
      <w:pPr>
        <w:pStyle w:val="text"/>
      </w:pPr>
      <w:r>
        <w:t xml:space="preserve">The Topics, Subtopics, Sections, Subsections, and Paragraphs are considered descending </w:t>
      </w:r>
      <w:r w:rsidR="00877D51">
        <w:t>“</w:t>
      </w:r>
      <w:r>
        <w:t>levels</w:t>
      </w:r>
      <w:r w:rsidR="00877D51">
        <w:t>”</w:t>
      </w:r>
      <w:r>
        <w:t xml:space="preserve"> of the Codification database, and each item in each level is numbered for reference and search purposes. The Topics level is accessed by clicking on the Area </w:t>
      </w:r>
      <w:r w:rsidR="00877D51">
        <w:t>“</w:t>
      </w:r>
      <w:r>
        <w:t>subject</w:t>
      </w:r>
      <w:r w:rsidR="00877D51">
        <w:t>”</w:t>
      </w:r>
      <w:r>
        <w:t xml:space="preserve"> links on the Codification home</w:t>
      </w:r>
      <w:r w:rsidR="007C18DD">
        <w:t xml:space="preserve"> </w:t>
      </w:r>
      <w:r>
        <w:t>page. The following is an explanation of the descending order of the levels</w:t>
      </w:r>
      <w:r w:rsidR="00F5761C">
        <w:t xml:space="preserve"> within each Area</w:t>
      </w:r>
      <w:r>
        <w:t>.</w:t>
      </w:r>
    </w:p>
    <w:p w:rsidR="00255EDC" w:rsidRDefault="00255EDC" w:rsidP="003102D0">
      <w:pPr>
        <w:pStyle w:val="6pt"/>
      </w:pPr>
    </w:p>
    <w:p w:rsidR="00255EDC" w:rsidRDefault="00255EDC" w:rsidP="00B53299">
      <w:pPr>
        <w:pStyle w:val="textbulletedlist"/>
      </w:pPr>
      <w:r w:rsidRPr="003C3FB2">
        <w:rPr>
          <w:u w:val="single"/>
        </w:rPr>
        <w:t>Topics</w:t>
      </w:r>
      <w:r>
        <w:t xml:space="preserve"> involve a collection of related guidance on a particular subject area (e.g.</w:t>
      </w:r>
      <w:r w:rsidR="00AE2F0B">
        <w:t>,</w:t>
      </w:r>
      <w:r>
        <w:t xml:space="preserve"> Assets).</w:t>
      </w:r>
    </w:p>
    <w:p w:rsidR="00255EDC" w:rsidRDefault="00255EDC" w:rsidP="00B53299">
      <w:pPr>
        <w:pStyle w:val="textbulletedlist"/>
      </w:pPr>
      <w:r w:rsidRPr="003C3FB2">
        <w:rPr>
          <w:u w:val="single"/>
        </w:rPr>
        <w:t>Subtopics</w:t>
      </w:r>
      <w:r>
        <w:t xml:space="preserve"> are subsets of a Topic and generally are distinguished by </w:t>
      </w:r>
      <w:r w:rsidR="00877D51">
        <w:t>“</w:t>
      </w:r>
      <w:r>
        <w:t>type</w:t>
      </w:r>
      <w:r w:rsidR="00877D51">
        <w:t>”</w:t>
      </w:r>
      <w:r>
        <w:t xml:space="preserve"> or by </w:t>
      </w:r>
      <w:r w:rsidR="00877D51">
        <w:t>“</w:t>
      </w:r>
      <w:r>
        <w:t>scope</w:t>
      </w:r>
      <w:r w:rsidR="00877D51">
        <w:t>”</w:t>
      </w:r>
      <w:r>
        <w:t xml:space="preserve"> (e.g., under the Leases Topic, there are Subtopics for Operating Leases and Capital Leases, because they are different types of Leases).</w:t>
      </w:r>
    </w:p>
    <w:p w:rsidR="00255EDC" w:rsidRDefault="00255EDC" w:rsidP="00B53299">
      <w:pPr>
        <w:pStyle w:val="textbulletedlist"/>
      </w:pPr>
      <w:r w:rsidRPr="003C3FB2">
        <w:rPr>
          <w:u w:val="single"/>
        </w:rPr>
        <w:t xml:space="preserve">Sections </w:t>
      </w:r>
      <w:r>
        <w:t>characterize the nature of the content in a Subtopic (e.g., Recognition, Measurement, Disclosure).</w:t>
      </w:r>
    </w:p>
    <w:p w:rsidR="00255EDC" w:rsidRDefault="00255EDC" w:rsidP="00B53299">
      <w:pPr>
        <w:pStyle w:val="textbulletedlist"/>
      </w:pPr>
      <w:r w:rsidRPr="003C3FB2">
        <w:rPr>
          <w:u w:val="single"/>
        </w:rPr>
        <w:t>Subsections</w:t>
      </w:r>
      <w:r>
        <w:t xml:space="preserve"> refine and break</w:t>
      </w:r>
      <w:r w:rsidR="00AE2F0B">
        <w:t xml:space="preserve"> </w:t>
      </w:r>
      <w:r>
        <w:t xml:space="preserve">down Sections into narrower and more specific </w:t>
      </w:r>
      <w:r w:rsidR="00F5761C">
        <w:t>items</w:t>
      </w:r>
      <w:r>
        <w:t>.</w:t>
      </w:r>
      <w:r w:rsidRPr="00255EDC">
        <w:t xml:space="preserve"> </w:t>
      </w:r>
      <w:r>
        <w:t xml:space="preserve">If a Subsection is necessary, it is </w:t>
      </w:r>
      <w:r w:rsidRPr="008714F5">
        <w:rPr>
          <w:i/>
        </w:rPr>
        <w:t>not</w:t>
      </w:r>
      <w:r>
        <w:t xml:space="preserve"> numbered but does include the Paragraphs that contain the guidance that constitutes GAAP.</w:t>
      </w:r>
    </w:p>
    <w:p w:rsidR="00255EDC" w:rsidRDefault="00255EDC" w:rsidP="00B53299">
      <w:pPr>
        <w:pStyle w:val="textbulletedlist"/>
      </w:pPr>
      <w:r w:rsidRPr="003C3FB2">
        <w:rPr>
          <w:u w:val="single"/>
        </w:rPr>
        <w:t xml:space="preserve">Paragraphs </w:t>
      </w:r>
      <w:r>
        <w:t>contain the guidance that constitutes GAAP.</w:t>
      </w:r>
    </w:p>
    <w:p w:rsidR="00255EDC" w:rsidRDefault="00255EDC" w:rsidP="003102D0">
      <w:pPr>
        <w:pStyle w:val="6pt"/>
      </w:pPr>
    </w:p>
    <w:p w:rsidR="00745EC9" w:rsidRDefault="00745EC9">
      <w:pPr>
        <w:widowControl/>
        <w:autoSpaceDE/>
        <w:autoSpaceDN/>
        <w:adjustRightInd/>
        <w:rPr>
          <w:rFonts w:cs="Arial"/>
          <w:szCs w:val="22"/>
        </w:rPr>
      </w:pPr>
      <w:r>
        <w:br w:type="page"/>
      </w:r>
    </w:p>
    <w:p w:rsidR="00745EC9" w:rsidRPr="00A85F85" w:rsidRDefault="00745EC9" w:rsidP="00745EC9">
      <w:pPr>
        <w:pStyle w:val="text"/>
        <w:rPr>
          <w:b/>
          <w:u w:val="single"/>
        </w:rPr>
      </w:pPr>
      <w:r w:rsidRPr="00A85F85">
        <w:rPr>
          <w:b/>
          <w:u w:val="single"/>
        </w:rPr>
        <w:lastRenderedPageBreak/>
        <w:t>C1-1</w:t>
      </w:r>
      <w:r>
        <w:rPr>
          <w:b/>
          <w:u w:val="single"/>
        </w:rPr>
        <w:t>2</w:t>
      </w:r>
      <w:r w:rsidRPr="00875828">
        <w:rPr>
          <w:b/>
        </w:rPr>
        <w:t xml:space="preserve"> </w:t>
      </w:r>
      <w:r>
        <w:rPr>
          <w:b/>
        </w:rPr>
        <w:t xml:space="preserve">  </w:t>
      </w:r>
      <w:r w:rsidRPr="00875828">
        <w:rPr>
          <w:b/>
        </w:rPr>
        <w:t>(con</w:t>
      </w:r>
      <w:r>
        <w:rPr>
          <w:b/>
        </w:rPr>
        <w:t>cl</w:t>
      </w:r>
      <w:r w:rsidRPr="00875828">
        <w:rPr>
          <w:b/>
        </w:rPr>
        <w:t>u</w:t>
      </w:r>
      <w:r>
        <w:rPr>
          <w:b/>
        </w:rPr>
        <w:t>d</w:t>
      </w:r>
      <w:r w:rsidRPr="00875828">
        <w:rPr>
          <w:b/>
        </w:rPr>
        <w:t>ed)</w:t>
      </w:r>
    </w:p>
    <w:p w:rsidR="00745EC9" w:rsidRDefault="00745EC9" w:rsidP="00745EC9">
      <w:pPr>
        <w:pStyle w:val="text"/>
      </w:pPr>
    </w:p>
    <w:p w:rsidR="00255EDC" w:rsidRDefault="00255EDC" w:rsidP="00E230D4">
      <w:pPr>
        <w:pStyle w:val="text"/>
      </w:pPr>
      <w:r>
        <w:t>To find the GAAP for a particular accounting issue, after logging in you would go to the Area links in the left column of the home</w:t>
      </w:r>
      <w:r w:rsidR="007C18DD">
        <w:t xml:space="preserve"> </w:t>
      </w:r>
      <w:r>
        <w:t xml:space="preserve">page and click on an Area (e.g., Assets). This would bring you to a menu of Topics, after which you would click on one </w:t>
      </w:r>
      <w:r w:rsidR="009A3AB0">
        <w:t>t</w:t>
      </w:r>
      <w:r>
        <w:t xml:space="preserve">opic. This would bring you to a menu containing Subtopics. After clicking on a Subtopic, this would bring you to a menu containing several Sections. Here, you would have to decide which Section is most likely to contain the answer to your question. You would click on that Section, which would bring you to the paragraphs containing the answer (GAAP) for your question. This completes your search. If you wanted to reference this answer, you would indicate that it can be found by listing the Topic, Subtopic, Section, and paragraph numbers (e.g., </w:t>
      </w:r>
      <w:r w:rsidR="00B6467C">
        <w:t>ASC</w:t>
      </w:r>
      <w:r>
        <w:t xml:space="preserve"> 330-10-30-1). Now, suppose you had left this screen and wanted to go back to this paragraph. To save time, you could enter 330-10-30-1 in the </w:t>
      </w:r>
      <w:r w:rsidR="00877D51">
        <w:t>“</w:t>
      </w:r>
      <w:r>
        <w:t>Go To</w:t>
      </w:r>
      <w:r w:rsidR="00877D51">
        <w:t>”</w:t>
      </w:r>
      <w:r>
        <w:t xml:space="preserve"> box on the home</w:t>
      </w:r>
      <w:r w:rsidR="007C18DD">
        <w:t xml:space="preserve"> </w:t>
      </w:r>
      <w:r>
        <w:t>page, and it would bring you directly to the paragraph.</w:t>
      </w:r>
    </w:p>
    <w:p w:rsidR="0027430D" w:rsidRDefault="0027430D">
      <w:pPr>
        <w:widowControl/>
        <w:autoSpaceDE/>
        <w:autoSpaceDN/>
        <w:adjustRightInd/>
        <w:rPr>
          <w:rFonts w:cs="Times"/>
          <w:b/>
          <w:szCs w:val="22"/>
          <w:u w:val="single"/>
        </w:rPr>
      </w:pPr>
    </w:p>
    <w:p w:rsidR="00255EDC" w:rsidRDefault="000861C7" w:rsidP="00E230D4">
      <w:pPr>
        <w:pStyle w:val="text"/>
      </w:pPr>
      <w:r>
        <w:rPr>
          <w:rFonts w:cs="Times"/>
          <w:b/>
          <w:u w:val="single"/>
        </w:rPr>
        <w:t>C</w:t>
      </w:r>
      <w:r w:rsidR="00255EDC" w:rsidRPr="00091C7A">
        <w:rPr>
          <w:rFonts w:cs="Times"/>
          <w:b/>
          <w:u w:val="single"/>
        </w:rPr>
        <w:t>1-</w:t>
      </w:r>
      <w:r w:rsidR="00B3255F" w:rsidRPr="00091C7A">
        <w:rPr>
          <w:rFonts w:cs="Times"/>
          <w:b/>
          <w:u w:val="single"/>
        </w:rPr>
        <w:t>1</w:t>
      </w:r>
      <w:r w:rsidR="00742904">
        <w:rPr>
          <w:rFonts w:cs="Times"/>
          <w:b/>
          <w:u w:val="single"/>
        </w:rPr>
        <w:t>3</w:t>
      </w:r>
    </w:p>
    <w:p w:rsidR="00A85F85" w:rsidRPr="00C012E9" w:rsidRDefault="00A85F85" w:rsidP="00C012E9">
      <w:pPr>
        <w:pStyle w:val="text"/>
      </w:pPr>
    </w:p>
    <w:p w:rsidR="00B5744E" w:rsidRDefault="00C012E9" w:rsidP="00C012E9">
      <w:pPr>
        <w:pStyle w:val="text"/>
      </w:pPr>
      <w:r w:rsidRPr="00C54976">
        <w:rPr>
          <w:rFonts w:cs="Tahoma"/>
          <w:i/>
          <w:color w:val="000000"/>
          <w:szCs w:val="20"/>
        </w:rPr>
        <w:t>Note to Instructor:</w:t>
      </w:r>
      <w:r w:rsidRPr="00C012E9">
        <w:rPr>
          <w:rFonts w:cs="Tahoma"/>
          <w:color w:val="000000"/>
          <w:szCs w:val="20"/>
        </w:rPr>
        <w:t xml:space="preserve"> Students are expected to cite references to GAAP in their research of this issue. While they might use various sources to conduct their research,</w:t>
      </w:r>
      <w:r w:rsidR="00D8499B" w:rsidRPr="00D8499B">
        <w:rPr>
          <w:rFonts w:cs="Tahoma"/>
          <w:color w:val="000000"/>
          <w:szCs w:val="20"/>
        </w:rPr>
        <w:t xml:space="preserve"> </w:t>
      </w:r>
      <w:r w:rsidR="00D8499B" w:rsidRPr="00C012E9">
        <w:rPr>
          <w:rFonts w:cs="Tahoma"/>
          <w:color w:val="000000"/>
          <w:szCs w:val="20"/>
        </w:rPr>
        <w:t>the</w:t>
      </w:r>
      <w:r w:rsidR="00D8499B" w:rsidRPr="00C012E9">
        <w:rPr>
          <w:rFonts w:cs="Tahoma"/>
          <w:i/>
          <w:iCs/>
          <w:color w:val="000000"/>
          <w:szCs w:val="20"/>
        </w:rPr>
        <w:t xml:space="preserve"> FASB Accounting Standards Codification</w:t>
      </w:r>
      <w:r w:rsidR="00845F85">
        <w:rPr>
          <w:rFonts w:cs="Tahoma"/>
          <w:i/>
          <w:iCs/>
          <w:color w:val="000000"/>
          <w:szCs w:val="20"/>
        </w:rPr>
        <w:t>,</w:t>
      </w:r>
      <w:r w:rsidR="00D8499B" w:rsidRPr="00C012E9">
        <w:rPr>
          <w:rFonts w:cs="Tahoma"/>
          <w:color w:val="000000"/>
          <w:szCs w:val="20"/>
        </w:rPr>
        <w:t xml:space="preserve"> </w:t>
      </w:r>
      <w:r w:rsidR="00D8499B">
        <w:rPr>
          <w:rFonts w:cs="Tahoma"/>
          <w:color w:val="000000"/>
          <w:szCs w:val="20"/>
        </w:rPr>
        <w:t xml:space="preserve">which </w:t>
      </w:r>
      <w:r w:rsidR="00D8499B" w:rsidRPr="00C012E9">
        <w:rPr>
          <w:rFonts w:cs="Tahoma"/>
          <w:color w:val="000000"/>
          <w:szCs w:val="20"/>
        </w:rPr>
        <w:t>is the primary source of GAAP</w:t>
      </w:r>
      <w:r w:rsidR="00D8499B">
        <w:t>, is cited.</w:t>
      </w:r>
    </w:p>
    <w:p w:rsidR="0027430D" w:rsidRDefault="0027430D" w:rsidP="0027430D">
      <w:pPr>
        <w:pStyle w:val="text"/>
      </w:pPr>
    </w:p>
    <w:p w:rsidR="003102D0" w:rsidRDefault="008B373E" w:rsidP="003102D0">
      <w:pPr>
        <w:pStyle w:val="text"/>
      </w:pPr>
      <w:r w:rsidRPr="00C012E9">
        <w:t xml:space="preserve">The cost of a productive facility (e.g., machine) is one of the costs of the services it renders during its useful economic life. Generally accepted accounting principles (GAAP) require that </w:t>
      </w:r>
    </w:p>
    <w:p w:rsidR="008B373E" w:rsidRPr="00C012E9" w:rsidRDefault="003102D0" w:rsidP="00C012E9">
      <w:pPr>
        <w:pStyle w:val="text"/>
      </w:pPr>
      <w:r w:rsidRPr="00C012E9">
        <w:t xml:space="preserve">this cost be spread over the expected useful life of the facility in such a way as to allocate it as </w:t>
      </w:r>
      <w:r w:rsidR="008B373E" w:rsidRPr="00C012E9">
        <w:t>equitably as possible to the periods during which services are obtained from the use of the facility. This procedure is known as depreciation accounting, which aims to distribute the cost, less salvage (if any), over the estimated useful life of the unit in a systematic and rational manner. It is a process of allocation, not of valuation.</w:t>
      </w:r>
    </w:p>
    <w:p w:rsidR="00875828" w:rsidRDefault="00875828" w:rsidP="00E230D4">
      <w:pPr>
        <w:pStyle w:val="text"/>
      </w:pPr>
    </w:p>
    <w:p w:rsidR="008B373E" w:rsidRDefault="008B373E" w:rsidP="00E230D4">
      <w:pPr>
        <w:pStyle w:val="text"/>
      </w:pPr>
      <w:r>
        <w:t xml:space="preserve">This is a summary. The complete GAAP may be found at </w:t>
      </w:r>
      <w:r w:rsidR="00C54976">
        <w:t xml:space="preserve">FASB </w:t>
      </w:r>
      <w:r w:rsidR="00B6467C">
        <w:t>ASC</w:t>
      </w:r>
      <w:r>
        <w:t xml:space="preserve"> 360-10-35-4.</w:t>
      </w:r>
    </w:p>
    <w:p w:rsidR="005F59DE" w:rsidRDefault="005F59DE" w:rsidP="00E230D4">
      <w:pPr>
        <w:pStyle w:val="text"/>
      </w:pPr>
    </w:p>
    <w:p w:rsidR="00F5761C" w:rsidRPr="00F82EDD" w:rsidRDefault="00F5761C" w:rsidP="00E230D4">
      <w:pPr>
        <w:pStyle w:val="text"/>
      </w:pPr>
      <w:r w:rsidRPr="00C16A9F">
        <w:t xml:space="preserve">The Codification is located at </w:t>
      </w:r>
      <w:hyperlink r:id="rId11" w:history="1">
        <w:r w:rsidRPr="00C16A9F">
          <w:rPr>
            <w:rStyle w:val="Hyperlink"/>
            <w:color w:val="auto"/>
          </w:rPr>
          <w:t>http://asc.fasb.org</w:t>
        </w:r>
      </w:hyperlink>
      <w:r w:rsidRPr="00C16A9F">
        <w:t xml:space="preserve"> (or, if your institution participates in the American Accounting Association academic access initiate, at </w:t>
      </w:r>
      <w:hyperlink r:id="rId12" w:history="1">
        <w:r w:rsidR="00BC564E" w:rsidRPr="00C16A9F">
          <w:rPr>
            <w:rStyle w:val="Hyperlink"/>
            <w:color w:val="auto"/>
          </w:rPr>
          <w:t>http://aaahq.org/ascLogin.</w:t>
        </w:r>
        <w:r w:rsidR="00BC564E" w:rsidRPr="00C16A9F">
          <w:rPr>
            <w:rStyle w:val="Hyperlink"/>
            <w:color w:val="auto"/>
          </w:rPr>
          <w:br/>
          <w:t>cfm</w:t>
        </w:r>
      </w:hyperlink>
      <w:r w:rsidRPr="00C16A9F">
        <w:t xml:space="preserve">). All users must register before they can log in. After logging in, the </w:t>
      </w:r>
      <w:r w:rsidR="00877D51" w:rsidRPr="00C16A9F">
        <w:t>“</w:t>
      </w:r>
      <w:r w:rsidRPr="00C16A9F">
        <w:t>home page</w:t>
      </w:r>
      <w:r w:rsidR="00877D51" w:rsidRPr="00C16A9F">
        <w:t>”</w:t>
      </w:r>
      <w:r w:rsidRPr="00C16A9F">
        <w:t xml:space="preserve"> provides a notice to constituents, links to tutorials, instructions on how to </w:t>
      </w:r>
      <w:r w:rsidR="00877D51" w:rsidRPr="00C16A9F">
        <w:t>“</w:t>
      </w:r>
      <w:r w:rsidRPr="00C16A9F">
        <w:t>join sections,</w:t>
      </w:r>
      <w:r w:rsidR="00877D51" w:rsidRPr="00C16A9F">
        <w:t>”</w:t>
      </w:r>
      <w:r w:rsidRPr="00C16A9F">
        <w:t xml:space="preserve"> and explanations of how to cross reference the Codification sections to the original pronouncements. The framework of the Codification contains six components or levels: (1) Areas, (2) Topics, (3) Subtopics, </w:t>
      </w:r>
      <w:r w:rsidR="00340212">
        <w:br/>
      </w:r>
      <w:r w:rsidRPr="00C16A9F">
        <w:t xml:space="preserve">(4) Sections, (5) Subsections, and (6) Paragraphs containing GAAP. The </w:t>
      </w:r>
      <w:r w:rsidRPr="00C16A9F">
        <w:rPr>
          <w:i/>
        </w:rPr>
        <w:t>Areas</w:t>
      </w:r>
      <w:r w:rsidRPr="00C16A9F">
        <w:t xml:space="preserve"> component is located on the left side of the home page, and contains links to nine broad accounting subjects which include </w:t>
      </w:r>
      <w:r w:rsidRPr="00C16A9F">
        <w:rPr>
          <w:i/>
        </w:rPr>
        <w:t>General Principles, Presentation</w:t>
      </w:r>
      <w:r w:rsidRPr="00C16A9F">
        <w:t>,</w:t>
      </w:r>
      <w:r w:rsidR="00FE0D30" w:rsidRPr="00C16A9F">
        <w:t xml:space="preserve"> </w:t>
      </w:r>
      <w:r w:rsidRPr="00C16A9F">
        <w:rPr>
          <w:i/>
        </w:rPr>
        <w:t>Assets</w:t>
      </w:r>
      <w:r w:rsidRPr="00C16A9F">
        <w:t xml:space="preserve">, </w:t>
      </w:r>
      <w:r w:rsidRPr="00C16A9F">
        <w:rPr>
          <w:i/>
        </w:rPr>
        <w:t>Liabilities</w:t>
      </w:r>
      <w:r w:rsidRPr="00C16A9F">
        <w:t xml:space="preserve">, </w:t>
      </w:r>
      <w:r w:rsidRPr="00C16A9F">
        <w:rPr>
          <w:i/>
        </w:rPr>
        <w:t>Equity</w:t>
      </w:r>
      <w:r w:rsidRPr="00C16A9F">
        <w:t xml:space="preserve">, </w:t>
      </w:r>
      <w:r w:rsidRPr="00C16A9F">
        <w:rPr>
          <w:i/>
        </w:rPr>
        <w:t>Revenue</w:t>
      </w:r>
      <w:r w:rsidRPr="00C16A9F">
        <w:t xml:space="preserve">, </w:t>
      </w:r>
      <w:r w:rsidRPr="00C16A9F">
        <w:rPr>
          <w:i/>
        </w:rPr>
        <w:t>Expenses</w:t>
      </w:r>
      <w:r w:rsidRPr="00C16A9F">
        <w:t xml:space="preserve">, </w:t>
      </w:r>
      <w:r w:rsidRPr="00C16A9F">
        <w:rPr>
          <w:i/>
        </w:rPr>
        <w:t>Broad Transactions</w:t>
      </w:r>
      <w:r w:rsidRPr="00C16A9F">
        <w:t xml:space="preserve">, and </w:t>
      </w:r>
      <w:r w:rsidRPr="00C16A9F">
        <w:rPr>
          <w:i/>
        </w:rPr>
        <w:t>Industry</w:t>
      </w:r>
      <w:r w:rsidRPr="00C16A9F">
        <w:t xml:space="preserve">, along with a </w:t>
      </w:r>
      <w:r w:rsidRPr="00C16A9F">
        <w:rPr>
          <w:i/>
        </w:rPr>
        <w:t>Master Glossary</w:t>
      </w:r>
      <w:r w:rsidRPr="00C16A9F">
        <w:t xml:space="preserve"> link and a </w:t>
      </w:r>
      <w:r w:rsidR="00877D51" w:rsidRPr="00C16A9F">
        <w:t>“</w:t>
      </w:r>
      <w:r w:rsidRPr="00C16A9F">
        <w:rPr>
          <w:i/>
        </w:rPr>
        <w:t>Go To</w:t>
      </w:r>
      <w:r w:rsidR="00877D51" w:rsidRPr="00C16A9F">
        <w:t>”</w:t>
      </w:r>
      <w:r w:rsidRPr="00C16A9F">
        <w:t xml:space="preserve"> box for users</w:t>
      </w:r>
      <w:r w:rsidRPr="00F82EDD">
        <w:t xml:space="preserve"> familiar with the Codification numbering system.</w:t>
      </w:r>
    </w:p>
    <w:p w:rsidR="00F5761C" w:rsidRDefault="00F5761C" w:rsidP="00B53299">
      <w:pPr>
        <w:pStyle w:val="textbulletedlist"/>
      </w:pPr>
      <w:r>
        <w:t xml:space="preserve">The Topics, Subtopics, Sections, Subsections, and Paragraphs are considered descending </w:t>
      </w:r>
      <w:r w:rsidR="00877D51">
        <w:t>“</w:t>
      </w:r>
      <w:r>
        <w:t>levels</w:t>
      </w:r>
      <w:r w:rsidR="00877D51">
        <w:t>”</w:t>
      </w:r>
      <w:r>
        <w:t xml:space="preserve"> of the Codification database, and each item in each level is numbered for reference and search purposes. The Topics level is accessed by clicking on the Area </w:t>
      </w:r>
      <w:r w:rsidR="00877D51">
        <w:t>“</w:t>
      </w:r>
      <w:r>
        <w:t>subject</w:t>
      </w:r>
      <w:r w:rsidR="00877D51">
        <w:t>”</w:t>
      </w:r>
      <w:r>
        <w:t xml:space="preserve"> links on the Codification home</w:t>
      </w:r>
      <w:r w:rsidR="007C18DD">
        <w:t xml:space="preserve"> </w:t>
      </w:r>
      <w:r>
        <w:t>page. The following is an explanation of the descending order of the levels within each Area.</w:t>
      </w:r>
    </w:p>
    <w:p w:rsidR="00745EC9" w:rsidRDefault="00F5761C" w:rsidP="00B53299">
      <w:pPr>
        <w:pStyle w:val="textbulletedlist"/>
      </w:pPr>
      <w:r w:rsidRPr="00C418BA">
        <w:rPr>
          <w:i/>
        </w:rPr>
        <w:t>Topics</w:t>
      </w:r>
      <w:r>
        <w:t xml:space="preserve"> involve a collection of related guidance on a particular subject area (e.g.</w:t>
      </w:r>
      <w:r w:rsidR="00AE2F0B">
        <w:t>,</w:t>
      </w:r>
      <w:r>
        <w:t xml:space="preserve"> Assets).</w:t>
      </w:r>
    </w:p>
    <w:p w:rsidR="00745EC9" w:rsidRDefault="00745EC9">
      <w:pPr>
        <w:widowControl/>
        <w:autoSpaceDE/>
        <w:autoSpaceDN/>
        <w:adjustRightInd/>
        <w:rPr>
          <w:rFonts w:cs="Arial"/>
          <w:szCs w:val="22"/>
        </w:rPr>
      </w:pPr>
      <w:r>
        <w:br w:type="page"/>
      </w:r>
    </w:p>
    <w:p w:rsidR="00745EC9" w:rsidRPr="00A85F85" w:rsidRDefault="00745EC9" w:rsidP="00745EC9">
      <w:pPr>
        <w:pStyle w:val="text"/>
        <w:rPr>
          <w:b/>
          <w:u w:val="single"/>
        </w:rPr>
      </w:pPr>
      <w:r w:rsidRPr="00A85F85">
        <w:rPr>
          <w:b/>
          <w:u w:val="single"/>
        </w:rPr>
        <w:lastRenderedPageBreak/>
        <w:t>C1-1</w:t>
      </w:r>
      <w:r>
        <w:rPr>
          <w:b/>
          <w:u w:val="single"/>
        </w:rPr>
        <w:t>3</w:t>
      </w:r>
      <w:r w:rsidRPr="00745EC9">
        <w:rPr>
          <w:b/>
        </w:rPr>
        <w:t xml:space="preserve">  </w:t>
      </w:r>
      <w:r w:rsidRPr="00875828">
        <w:rPr>
          <w:b/>
        </w:rPr>
        <w:t xml:space="preserve"> (con</w:t>
      </w:r>
      <w:r>
        <w:rPr>
          <w:b/>
        </w:rPr>
        <w:t>cl</w:t>
      </w:r>
      <w:r w:rsidRPr="00875828">
        <w:rPr>
          <w:b/>
        </w:rPr>
        <w:t>u</w:t>
      </w:r>
      <w:r>
        <w:rPr>
          <w:b/>
        </w:rPr>
        <w:t>d</w:t>
      </w:r>
      <w:r w:rsidRPr="00875828">
        <w:rPr>
          <w:b/>
        </w:rPr>
        <w:t>ed)</w:t>
      </w:r>
    </w:p>
    <w:p w:rsidR="00F5761C" w:rsidRDefault="00F5761C" w:rsidP="00745EC9">
      <w:pPr>
        <w:pStyle w:val="textbulletedlist"/>
        <w:numPr>
          <w:ilvl w:val="0"/>
          <w:numId w:val="0"/>
        </w:numPr>
        <w:ind w:left="720"/>
      </w:pPr>
    </w:p>
    <w:p w:rsidR="00F5761C" w:rsidRDefault="00F5761C" w:rsidP="00B53299">
      <w:pPr>
        <w:pStyle w:val="textbulletedlist"/>
      </w:pPr>
      <w:r w:rsidRPr="00C418BA">
        <w:rPr>
          <w:i/>
        </w:rPr>
        <w:t>Subtopics</w:t>
      </w:r>
      <w:r>
        <w:t xml:space="preserve"> are subsets of a Topic and generally are distinguished by </w:t>
      </w:r>
      <w:r w:rsidR="00877D51">
        <w:t>“</w:t>
      </w:r>
      <w:r>
        <w:t>type</w:t>
      </w:r>
      <w:r w:rsidR="00877D51">
        <w:t>”</w:t>
      </w:r>
      <w:r>
        <w:t xml:space="preserve"> or by </w:t>
      </w:r>
      <w:r w:rsidR="00877D51">
        <w:t>“</w:t>
      </w:r>
      <w:r>
        <w:t>scope</w:t>
      </w:r>
      <w:r w:rsidR="00877D51">
        <w:t>”</w:t>
      </w:r>
      <w:r>
        <w:t xml:space="preserve"> (e.g., under the Leases Topic, there are Subtopics for Operating Leases and Capital Leases, because they are different types of Leases).</w:t>
      </w:r>
    </w:p>
    <w:p w:rsidR="00F5761C" w:rsidRDefault="00F5761C" w:rsidP="00B53299">
      <w:pPr>
        <w:pStyle w:val="textbulletedlist"/>
      </w:pPr>
      <w:r w:rsidRPr="00C418BA">
        <w:rPr>
          <w:i/>
        </w:rPr>
        <w:t>Sections</w:t>
      </w:r>
      <w:r>
        <w:t xml:space="preserve"> characterize the nature of the content in a Subtopic (e.g., Recognition, Measurement, Disclosure).</w:t>
      </w:r>
    </w:p>
    <w:p w:rsidR="00F5761C" w:rsidRDefault="00F5761C" w:rsidP="00B53299">
      <w:pPr>
        <w:pStyle w:val="textbulletedlist"/>
      </w:pPr>
      <w:r w:rsidRPr="00C418BA">
        <w:rPr>
          <w:i/>
        </w:rPr>
        <w:t>Subsections</w:t>
      </w:r>
      <w:r>
        <w:t xml:space="preserve"> refine and break</w:t>
      </w:r>
      <w:r w:rsidR="00AE2F0B">
        <w:t xml:space="preserve"> </w:t>
      </w:r>
      <w:r>
        <w:t>down Sections into narrower and more specific items.</w:t>
      </w:r>
      <w:r w:rsidRPr="00255EDC">
        <w:t xml:space="preserve"> </w:t>
      </w:r>
      <w:r>
        <w:t xml:space="preserve">If a Subsection is necessary, it is </w:t>
      </w:r>
      <w:r w:rsidRPr="00581317">
        <w:rPr>
          <w:i/>
        </w:rPr>
        <w:t xml:space="preserve">not </w:t>
      </w:r>
      <w:r>
        <w:t>numbered but does include the Paragraphs that contain the guidance that constitutes GAAP.</w:t>
      </w:r>
    </w:p>
    <w:p w:rsidR="001F22EC" w:rsidRDefault="00F5761C" w:rsidP="00DB2E5D">
      <w:pPr>
        <w:pStyle w:val="textbulletedlist"/>
        <w:widowControl/>
        <w:autoSpaceDE/>
        <w:autoSpaceDN/>
        <w:adjustRightInd/>
      </w:pPr>
      <w:r w:rsidRPr="00DB2E5D">
        <w:rPr>
          <w:i/>
        </w:rPr>
        <w:t>Paragraphs</w:t>
      </w:r>
      <w:r>
        <w:t xml:space="preserve"> contain the guidance that constitutes GAAP.</w:t>
      </w:r>
    </w:p>
    <w:p w:rsidR="0027430D" w:rsidRDefault="0027430D">
      <w:pPr>
        <w:widowControl/>
        <w:autoSpaceDE/>
        <w:autoSpaceDN/>
        <w:adjustRightInd/>
        <w:rPr>
          <w:rFonts w:cs="Arial"/>
          <w:b/>
          <w:szCs w:val="22"/>
          <w:u w:val="single"/>
        </w:rPr>
      </w:pPr>
    </w:p>
    <w:p w:rsidR="003102D0" w:rsidRDefault="00F5761C" w:rsidP="00E230D4">
      <w:pPr>
        <w:pStyle w:val="text"/>
      </w:pPr>
      <w:r>
        <w:t>To find the GAAP for a particular accounting issue, after logging in you would go to the Area links in the left column of the home</w:t>
      </w:r>
      <w:r w:rsidR="007C18DD">
        <w:t xml:space="preserve"> </w:t>
      </w:r>
      <w:r>
        <w:t xml:space="preserve">page and click on an Area (e.g., Assets). This would bring you to a menu of </w:t>
      </w:r>
      <w:r w:rsidR="00C012E9">
        <w:t>seven</w:t>
      </w:r>
      <w:r>
        <w:t xml:space="preserve"> Topics of assets, after which you would click on one </w:t>
      </w:r>
      <w:r w:rsidR="002A2FB9">
        <w:t>t</w:t>
      </w:r>
      <w:r>
        <w:t xml:space="preserve">opic. This would bring you to a menu containing Subtopics. After clicking on a Subtopic, this would bring you to a menu containing several Sections. Here, you would have to decide which Section is most likely to contain the answer to your question. You would click on that Section, which would bring you to the paragraphs containing the answer (GAAP) for your question. This completes your search. If you wanted to reference this answer, you would indicate that it can be found by listing the Topic, Subtopic, Section, and paragraph numbers (e.g., ASC 360-10-35-4). Now, suppose you had left this screen and wanted to go back to this paragraph. To save time, you could enter 360-10-35-4 in the </w:t>
      </w:r>
      <w:r w:rsidR="00877D51">
        <w:t>“</w:t>
      </w:r>
      <w:r>
        <w:t>Go To</w:t>
      </w:r>
      <w:r w:rsidR="00877D51">
        <w:t>”</w:t>
      </w:r>
      <w:r>
        <w:t xml:space="preserve"> box on the home</w:t>
      </w:r>
      <w:r w:rsidR="007C18DD">
        <w:t xml:space="preserve"> </w:t>
      </w:r>
      <w:r>
        <w:t>page, and it would bring you directly to the paragraph.</w:t>
      </w:r>
    </w:p>
    <w:p w:rsidR="0027430D" w:rsidRDefault="0027430D" w:rsidP="00E230D4">
      <w:pPr>
        <w:pStyle w:val="text"/>
      </w:pPr>
    </w:p>
    <w:p w:rsidR="00762272" w:rsidRPr="00762272" w:rsidRDefault="00762272" w:rsidP="00E230D4">
      <w:pPr>
        <w:pStyle w:val="text"/>
        <w:rPr>
          <w:rFonts w:cs="Times"/>
          <w:b/>
        </w:rPr>
      </w:pPr>
      <w:r w:rsidRPr="00091C7A">
        <w:rPr>
          <w:rFonts w:cs="Times"/>
          <w:b/>
          <w:u w:val="single"/>
        </w:rPr>
        <w:t>C1-</w:t>
      </w:r>
      <w:r w:rsidR="00B3255F" w:rsidRPr="00091C7A">
        <w:rPr>
          <w:rFonts w:cs="Times"/>
          <w:b/>
          <w:u w:val="single"/>
        </w:rPr>
        <w:t>1</w:t>
      </w:r>
      <w:r w:rsidR="00742904">
        <w:rPr>
          <w:rFonts w:cs="Times"/>
          <w:b/>
          <w:u w:val="single"/>
        </w:rPr>
        <w:t>4</w:t>
      </w:r>
    </w:p>
    <w:p w:rsidR="00C012E9" w:rsidRPr="003629A5" w:rsidRDefault="00C012E9" w:rsidP="003629A5">
      <w:pPr>
        <w:pStyle w:val="text"/>
      </w:pPr>
    </w:p>
    <w:p w:rsidR="00EA15E1" w:rsidRDefault="00C012E9" w:rsidP="003629A5">
      <w:pPr>
        <w:pStyle w:val="text"/>
      </w:pPr>
      <w:r w:rsidRPr="00C54976">
        <w:rPr>
          <w:rFonts w:cs="Tahoma"/>
          <w:i/>
          <w:color w:val="000000"/>
          <w:szCs w:val="20"/>
        </w:rPr>
        <w:t>Note to Instructor:</w:t>
      </w:r>
      <w:r w:rsidRPr="003629A5">
        <w:rPr>
          <w:rFonts w:cs="Tahoma"/>
          <w:color w:val="000000"/>
          <w:szCs w:val="20"/>
        </w:rPr>
        <w:t xml:space="preserve"> Students are expected to cite references to GAAP in their research of this issue. While they might use various sources to conduct their research,</w:t>
      </w:r>
      <w:r w:rsidR="00333423">
        <w:rPr>
          <w:rFonts w:cs="Tahoma"/>
          <w:color w:val="000000"/>
          <w:szCs w:val="20"/>
        </w:rPr>
        <w:t xml:space="preserve"> </w:t>
      </w:r>
      <w:r w:rsidR="00333423" w:rsidRPr="00C012E9">
        <w:rPr>
          <w:rFonts w:cs="Tahoma"/>
          <w:color w:val="000000"/>
          <w:szCs w:val="20"/>
        </w:rPr>
        <w:t>the</w:t>
      </w:r>
      <w:r w:rsidR="00333423" w:rsidRPr="00C012E9">
        <w:rPr>
          <w:rFonts w:cs="Tahoma"/>
          <w:i/>
          <w:iCs/>
          <w:color w:val="000000"/>
          <w:szCs w:val="20"/>
        </w:rPr>
        <w:t xml:space="preserve"> FASB Accounting Standards Codification</w:t>
      </w:r>
      <w:r w:rsidR="00845F85">
        <w:rPr>
          <w:rFonts w:cs="Tahoma"/>
          <w:i/>
          <w:iCs/>
          <w:color w:val="000000"/>
          <w:szCs w:val="20"/>
        </w:rPr>
        <w:t>,</w:t>
      </w:r>
      <w:r w:rsidR="00333423" w:rsidRPr="00C012E9">
        <w:rPr>
          <w:rFonts w:cs="Tahoma"/>
          <w:color w:val="000000"/>
          <w:szCs w:val="20"/>
        </w:rPr>
        <w:t xml:space="preserve"> </w:t>
      </w:r>
      <w:r w:rsidR="00333423">
        <w:rPr>
          <w:rFonts w:cs="Tahoma"/>
          <w:color w:val="000000"/>
          <w:szCs w:val="20"/>
        </w:rPr>
        <w:t xml:space="preserve">which </w:t>
      </w:r>
      <w:r w:rsidR="00333423" w:rsidRPr="00C012E9">
        <w:rPr>
          <w:rFonts w:cs="Tahoma"/>
          <w:color w:val="000000"/>
          <w:szCs w:val="20"/>
        </w:rPr>
        <w:t>is the primary source of GAAP</w:t>
      </w:r>
      <w:r w:rsidR="00333423">
        <w:t>, is cited.</w:t>
      </w:r>
    </w:p>
    <w:p w:rsidR="00EA15E1" w:rsidRPr="008A30C9" w:rsidRDefault="00EA15E1" w:rsidP="003629A5">
      <w:pPr>
        <w:pStyle w:val="text"/>
        <w:rPr>
          <w:szCs w:val="20"/>
        </w:rPr>
      </w:pPr>
    </w:p>
    <w:p w:rsidR="00DA4B88" w:rsidRPr="003629A5" w:rsidRDefault="00DA4B88" w:rsidP="003629A5">
      <w:pPr>
        <w:pStyle w:val="text"/>
      </w:pPr>
      <w:r w:rsidRPr="003629A5">
        <w:t>The recognition of revenue of a company during a period involves consideration of the following two factors, with sometimes one and sometimes the other being the more important consideration:</w:t>
      </w:r>
    </w:p>
    <w:p w:rsidR="00DA4B88" w:rsidRDefault="00DA4B88" w:rsidP="00F112FC">
      <w:pPr>
        <w:pStyle w:val="6pt"/>
      </w:pPr>
    </w:p>
    <w:p w:rsidR="00DA4B88" w:rsidRPr="008A30C9" w:rsidRDefault="00250171" w:rsidP="00250171">
      <w:pPr>
        <w:pStyle w:val="NumList"/>
        <w:rPr>
          <w:spacing w:val="-2"/>
        </w:rPr>
      </w:pPr>
      <w:r>
        <w:t>(a)</w:t>
      </w:r>
      <w:r>
        <w:tab/>
      </w:r>
      <w:r w:rsidR="00DA4B88" w:rsidRPr="008A30C9">
        <w:rPr>
          <w:spacing w:val="-2"/>
        </w:rPr>
        <w:t xml:space="preserve">Being realized or realizable. Revenue generally is not recognized until realized or realizable. Revenue is realized when products (goods or services), merchandise, or other assets are exchanged for cash or claims to cash. Revenue is realizable when related assets received or held are </w:t>
      </w:r>
      <w:r w:rsidR="00DA4B88" w:rsidRPr="008A30C9">
        <w:rPr>
          <w:i/>
          <w:spacing w:val="-2"/>
        </w:rPr>
        <w:t>readily convertible</w:t>
      </w:r>
      <w:r w:rsidR="00DA4B88" w:rsidRPr="008A30C9">
        <w:rPr>
          <w:spacing w:val="-2"/>
        </w:rPr>
        <w:t xml:space="preserve"> to known amounts of cash or claims to cash.</w:t>
      </w:r>
    </w:p>
    <w:p w:rsidR="00DA4B88" w:rsidRPr="008A30C9" w:rsidRDefault="00DA4B88" w:rsidP="00F112FC">
      <w:pPr>
        <w:pStyle w:val="6pt"/>
        <w:rPr>
          <w:sz w:val="20"/>
          <w:szCs w:val="20"/>
        </w:rPr>
      </w:pPr>
    </w:p>
    <w:p w:rsidR="00DA4B88" w:rsidRDefault="00250171" w:rsidP="00250171">
      <w:pPr>
        <w:pStyle w:val="NumList"/>
      </w:pPr>
      <w:r>
        <w:t>(b)</w:t>
      </w:r>
      <w:r>
        <w:tab/>
      </w:r>
      <w:r w:rsidR="00DA4B88">
        <w:t>Being earned. Revenue is not recognized until earned. A company</w:t>
      </w:r>
      <w:r w:rsidR="0077707C">
        <w:t>’</w:t>
      </w:r>
      <w:r w:rsidR="00DA4B88">
        <w:t>s revenue-earning activities involve delivering or producing goods, rendering services, or other activities that constitute its ongoing major or central operations, and revenue is considered to have been earned when the company has substantially accomplished what it must do to be entitled to the benefits represented by the revenue.</w:t>
      </w:r>
    </w:p>
    <w:p w:rsidR="00DA4B88" w:rsidRPr="008A30C9" w:rsidRDefault="00DA4B88" w:rsidP="00E230D4">
      <w:pPr>
        <w:pStyle w:val="text"/>
        <w:rPr>
          <w:szCs w:val="20"/>
        </w:rPr>
      </w:pPr>
    </w:p>
    <w:p w:rsidR="00DA4B88" w:rsidRDefault="00DA4B88" w:rsidP="00E230D4">
      <w:pPr>
        <w:pStyle w:val="text"/>
      </w:pPr>
      <w:r>
        <w:t xml:space="preserve">This is a summary. The complete GAAP may be found at </w:t>
      </w:r>
      <w:r w:rsidR="00C54976">
        <w:t xml:space="preserve">FASB </w:t>
      </w:r>
      <w:r>
        <w:t>ASC 605-10-25-1.</w:t>
      </w:r>
    </w:p>
    <w:p w:rsidR="00DB6794" w:rsidRPr="008A30C9" w:rsidRDefault="00DB6794" w:rsidP="00E230D4">
      <w:pPr>
        <w:pStyle w:val="text"/>
        <w:rPr>
          <w:szCs w:val="20"/>
        </w:rPr>
      </w:pPr>
    </w:p>
    <w:p w:rsidR="00745EC9" w:rsidRDefault="00745EC9">
      <w:pPr>
        <w:widowControl/>
        <w:autoSpaceDE/>
        <w:autoSpaceDN/>
        <w:adjustRightInd/>
        <w:rPr>
          <w:rFonts w:cs="Arial"/>
          <w:szCs w:val="22"/>
        </w:rPr>
      </w:pPr>
      <w:r>
        <w:br w:type="page"/>
      </w:r>
    </w:p>
    <w:p w:rsidR="00745EC9" w:rsidRPr="00A85F85" w:rsidRDefault="00745EC9" w:rsidP="00745EC9">
      <w:pPr>
        <w:pStyle w:val="text"/>
        <w:rPr>
          <w:b/>
          <w:u w:val="single"/>
        </w:rPr>
      </w:pPr>
      <w:r w:rsidRPr="00A85F85">
        <w:rPr>
          <w:b/>
          <w:u w:val="single"/>
        </w:rPr>
        <w:lastRenderedPageBreak/>
        <w:t>C1-1</w:t>
      </w:r>
      <w:r>
        <w:rPr>
          <w:b/>
          <w:u w:val="single"/>
        </w:rPr>
        <w:t>4</w:t>
      </w:r>
      <w:r w:rsidRPr="00875828">
        <w:rPr>
          <w:b/>
        </w:rPr>
        <w:t xml:space="preserve"> </w:t>
      </w:r>
      <w:r>
        <w:rPr>
          <w:b/>
        </w:rPr>
        <w:t xml:space="preserve">   </w:t>
      </w:r>
      <w:r w:rsidRPr="00875828">
        <w:rPr>
          <w:b/>
        </w:rPr>
        <w:t>(con</w:t>
      </w:r>
      <w:r>
        <w:rPr>
          <w:b/>
        </w:rPr>
        <w:t>cl</w:t>
      </w:r>
      <w:r w:rsidRPr="00875828">
        <w:rPr>
          <w:b/>
        </w:rPr>
        <w:t>u</w:t>
      </w:r>
      <w:r>
        <w:rPr>
          <w:b/>
        </w:rPr>
        <w:t>d</w:t>
      </w:r>
      <w:r w:rsidRPr="00875828">
        <w:rPr>
          <w:b/>
        </w:rPr>
        <w:t>ed)</w:t>
      </w:r>
    </w:p>
    <w:p w:rsidR="00745EC9" w:rsidRDefault="00745EC9" w:rsidP="00E230D4">
      <w:pPr>
        <w:pStyle w:val="text"/>
      </w:pPr>
    </w:p>
    <w:p w:rsidR="00B82A2F" w:rsidRPr="00C16A9F" w:rsidRDefault="00B82A2F" w:rsidP="00E230D4">
      <w:pPr>
        <w:pStyle w:val="text"/>
      </w:pPr>
      <w:r w:rsidRPr="00C16A9F">
        <w:t xml:space="preserve">The Codification is located at </w:t>
      </w:r>
      <w:hyperlink r:id="rId13" w:history="1">
        <w:r w:rsidRPr="00C16A9F">
          <w:rPr>
            <w:rStyle w:val="Hyperlink"/>
            <w:color w:val="auto"/>
          </w:rPr>
          <w:t>http://asc.fasb.org</w:t>
        </w:r>
      </w:hyperlink>
      <w:r w:rsidRPr="00C16A9F">
        <w:t xml:space="preserve"> (or, if your institution participates in the American Accounting Association academic access initiate, at </w:t>
      </w:r>
      <w:hyperlink r:id="rId14" w:history="1">
        <w:r w:rsidR="00C16A9F" w:rsidRPr="00C16A9F">
          <w:rPr>
            <w:rStyle w:val="Hyperlink"/>
            <w:color w:val="auto"/>
          </w:rPr>
          <w:t>http://aaahq.org/ascLogin.</w:t>
        </w:r>
        <w:r w:rsidR="00C16A9F" w:rsidRPr="00C16A9F">
          <w:rPr>
            <w:rStyle w:val="Hyperlink"/>
            <w:color w:val="auto"/>
          </w:rPr>
          <w:br/>
          <w:t>cfm</w:t>
        </w:r>
      </w:hyperlink>
      <w:r w:rsidRPr="00C16A9F">
        <w:t xml:space="preserve">). All users must register before they can log in. After logging in, the </w:t>
      </w:r>
      <w:r w:rsidR="00877D51" w:rsidRPr="00C16A9F">
        <w:t>“</w:t>
      </w:r>
      <w:r w:rsidRPr="00C16A9F">
        <w:t>home page</w:t>
      </w:r>
      <w:r w:rsidR="00877D51" w:rsidRPr="00C16A9F">
        <w:t>”</w:t>
      </w:r>
      <w:r w:rsidRPr="00C16A9F">
        <w:t xml:space="preserve"> provides a notice to constituents, links to tutorials, instructions on how to </w:t>
      </w:r>
      <w:r w:rsidR="00877D51" w:rsidRPr="00C16A9F">
        <w:t>“</w:t>
      </w:r>
      <w:r w:rsidRPr="00C16A9F">
        <w:t>join sections,</w:t>
      </w:r>
      <w:r w:rsidR="00877D51" w:rsidRPr="00C16A9F">
        <w:t>”</w:t>
      </w:r>
      <w:r w:rsidRPr="00C16A9F">
        <w:t xml:space="preserve"> and explanations of how to cross reference the Codification sections to the original pronouncements. The framework of the Codification contains six components or levels: (1) Areas, (2) Topics, (3) Subtopics, </w:t>
      </w:r>
      <w:r w:rsidR="00340212">
        <w:br/>
      </w:r>
      <w:r w:rsidRPr="00C16A9F">
        <w:t xml:space="preserve">(4) Sections, (5) Subsections, and (6) Paragraphs containing GAAP. The </w:t>
      </w:r>
      <w:r w:rsidRPr="00C16A9F">
        <w:rPr>
          <w:i/>
        </w:rPr>
        <w:t>Areas</w:t>
      </w:r>
      <w:r w:rsidRPr="00C16A9F">
        <w:t xml:space="preserve"> component is located on the left side of the home page, and contains links to nine broad accounting subjects which include </w:t>
      </w:r>
      <w:r w:rsidRPr="00C16A9F">
        <w:rPr>
          <w:i/>
        </w:rPr>
        <w:t>General Principles, Presentation</w:t>
      </w:r>
      <w:r w:rsidRPr="00C16A9F">
        <w:t>,</w:t>
      </w:r>
      <w:r w:rsidR="00FE0D30" w:rsidRPr="00C16A9F">
        <w:t xml:space="preserve"> </w:t>
      </w:r>
      <w:r w:rsidRPr="00C16A9F">
        <w:rPr>
          <w:i/>
        </w:rPr>
        <w:t>Assets</w:t>
      </w:r>
      <w:r w:rsidRPr="00C16A9F">
        <w:t xml:space="preserve">, </w:t>
      </w:r>
      <w:r w:rsidRPr="00C16A9F">
        <w:rPr>
          <w:i/>
        </w:rPr>
        <w:t>Liabilities</w:t>
      </w:r>
      <w:r w:rsidRPr="00C16A9F">
        <w:t xml:space="preserve">, </w:t>
      </w:r>
      <w:r w:rsidRPr="00C16A9F">
        <w:rPr>
          <w:i/>
        </w:rPr>
        <w:t>Equity</w:t>
      </w:r>
      <w:r w:rsidRPr="00C16A9F">
        <w:t xml:space="preserve">, </w:t>
      </w:r>
      <w:r w:rsidRPr="00C16A9F">
        <w:rPr>
          <w:i/>
        </w:rPr>
        <w:t>Revenue</w:t>
      </w:r>
      <w:r w:rsidRPr="00C16A9F">
        <w:t xml:space="preserve">, </w:t>
      </w:r>
      <w:r w:rsidRPr="00C16A9F">
        <w:rPr>
          <w:i/>
        </w:rPr>
        <w:t>Expenses</w:t>
      </w:r>
      <w:r w:rsidRPr="00C16A9F">
        <w:t xml:space="preserve">, </w:t>
      </w:r>
      <w:r w:rsidRPr="00C16A9F">
        <w:rPr>
          <w:i/>
        </w:rPr>
        <w:t>Broad Transactions</w:t>
      </w:r>
      <w:r w:rsidRPr="00C16A9F">
        <w:t xml:space="preserve">, and </w:t>
      </w:r>
      <w:r w:rsidRPr="00C16A9F">
        <w:rPr>
          <w:i/>
        </w:rPr>
        <w:t>Industry</w:t>
      </w:r>
      <w:r w:rsidRPr="00C16A9F">
        <w:t xml:space="preserve">, along with a </w:t>
      </w:r>
      <w:r w:rsidRPr="00C16A9F">
        <w:rPr>
          <w:i/>
        </w:rPr>
        <w:t>Master Glossary</w:t>
      </w:r>
      <w:r w:rsidRPr="00C16A9F">
        <w:t xml:space="preserve"> link and a </w:t>
      </w:r>
      <w:r w:rsidR="00877D51" w:rsidRPr="00C16A9F">
        <w:t>“</w:t>
      </w:r>
      <w:r w:rsidRPr="00C16A9F">
        <w:rPr>
          <w:i/>
        </w:rPr>
        <w:t>Go To</w:t>
      </w:r>
      <w:r w:rsidR="00877D51" w:rsidRPr="00C16A9F">
        <w:t>”</w:t>
      </w:r>
      <w:r w:rsidRPr="00C16A9F">
        <w:t xml:space="preserve"> box for users familiar with the Codification numbering system.</w:t>
      </w:r>
    </w:p>
    <w:p w:rsidR="0027430D" w:rsidRPr="008A30C9" w:rsidRDefault="0027430D">
      <w:pPr>
        <w:widowControl/>
        <w:autoSpaceDE/>
        <w:autoSpaceDN/>
        <w:adjustRightInd/>
        <w:rPr>
          <w:rFonts w:cs="Arial"/>
          <w:b/>
          <w:szCs w:val="20"/>
          <w:u w:val="single"/>
        </w:rPr>
      </w:pPr>
    </w:p>
    <w:p w:rsidR="00B82A2F" w:rsidRDefault="00B82A2F" w:rsidP="00E230D4">
      <w:pPr>
        <w:pStyle w:val="text"/>
      </w:pPr>
      <w:r>
        <w:t xml:space="preserve">The Topics, Subtopics, Sections, Subsections, and Paragraphs are considered descending </w:t>
      </w:r>
      <w:r w:rsidR="00877D51">
        <w:t>“</w:t>
      </w:r>
      <w:r>
        <w:t>levels</w:t>
      </w:r>
      <w:r w:rsidR="00877D51">
        <w:t>”</w:t>
      </w:r>
      <w:r>
        <w:t xml:space="preserve"> of the Codification database, and each item in each level is numbered for reference and search purposes. The Topics level is accessed by clicking on the Area </w:t>
      </w:r>
      <w:r w:rsidR="00877D51">
        <w:t>“</w:t>
      </w:r>
      <w:r>
        <w:t>subject</w:t>
      </w:r>
      <w:r w:rsidR="00877D51">
        <w:t>”</w:t>
      </w:r>
      <w:r>
        <w:t xml:space="preserve"> links on the Codification home</w:t>
      </w:r>
      <w:r w:rsidR="007C18DD">
        <w:t xml:space="preserve"> </w:t>
      </w:r>
      <w:r>
        <w:t>page. The following is an explanation of the descending order of the levels within each Area.</w:t>
      </w:r>
    </w:p>
    <w:p w:rsidR="00B82A2F" w:rsidRDefault="00B82A2F" w:rsidP="00250171">
      <w:pPr>
        <w:pStyle w:val="textbulletedlist"/>
      </w:pPr>
      <w:r w:rsidRPr="0000065A">
        <w:rPr>
          <w:u w:val="single"/>
        </w:rPr>
        <w:t xml:space="preserve">Topics </w:t>
      </w:r>
      <w:r>
        <w:t>involve a collection of related guidance on a particular subject area (e.g.</w:t>
      </w:r>
      <w:r w:rsidR="00AE2F0B">
        <w:t>,</w:t>
      </w:r>
      <w:r>
        <w:t xml:space="preserve"> Assets).</w:t>
      </w:r>
    </w:p>
    <w:p w:rsidR="00B82A2F" w:rsidRDefault="00B82A2F" w:rsidP="00250171">
      <w:pPr>
        <w:pStyle w:val="textbulletedlist"/>
      </w:pPr>
      <w:r w:rsidRPr="0000065A">
        <w:rPr>
          <w:u w:val="single"/>
        </w:rPr>
        <w:t xml:space="preserve">Subtopics </w:t>
      </w:r>
      <w:r>
        <w:t xml:space="preserve">are subsets of a Topic and generally are distinguished by </w:t>
      </w:r>
      <w:r w:rsidR="00877D51">
        <w:t>“</w:t>
      </w:r>
      <w:r>
        <w:t>type</w:t>
      </w:r>
      <w:r w:rsidR="00877D51">
        <w:t>”</w:t>
      </w:r>
      <w:r>
        <w:t xml:space="preserve"> or by </w:t>
      </w:r>
      <w:r w:rsidR="00877D51">
        <w:t>“</w:t>
      </w:r>
      <w:r>
        <w:t>scope</w:t>
      </w:r>
      <w:r w:rsidR="00877D51">
        <w:t>”</w:t>
      </w:r>
      <w:r>
        <w:t xml:space="preserve"> (e.g., under the Leases Topic, there are Subtopics for Operating Leases and Capital Leases, because they are different types of Leases).</w:t>
      </w:r>
    </w:p>
    <w:p w:rsidR="00B82A2F" w:rsidRDefault="00B82A2F" w:rsidP="00250171">
      <w:pPr>
        <w:pStyle w:val="textbulletedlist"/>
      </w:pPr>
      <w:r w:rsidRPr="0000065A">
        <w:rPr>
          <w:u w:val="single"/>
        </w:rPr>
        <w:t xml:space="preserve">Sections </w:t>
      </w:r>
      <w:r>
        <w:t>characterize the nature of the content in a Subtopic (e.g., Recognition, Measurement, Disclosure).</w:t>
      </w:r>
    </w:p>
    <w:p w:rsidR="00B82A2F" w:rsidRDefault="00B82A2F" w:rsidP="00250171">
      <w:pPr>
        <w:pStyle w:val="textbulletedlist"/>
      </w:pPr>
      <w:r w:rsidRPr="0000065A">
        <w:rPr>
          <w:u w:val="single"/>
        </w:rPr>
        <w:t>Subsections</w:t>
      </w:r>
      <w:r>
        <w:t xml:space="preserve"> refine and break</w:t>
      </w:r>
      <w:r w:rsidR="00AE2F0B">
        <w:t xml:space="preserve"> </w:t>
      </w:r>
      <w:r>
        <w:t>down Sections into narrower and more specific items.</w:t>
      </w:r>
      <w:r w:rsidRPr="00255EDC">
        <w:t xml:space="preserve"> </w:t>
      </w:r>
      <w:r>
        <w:t xml:space="preserve">If a Subsection is necessary, it is </w:t>
      </w:r>
      <w:r w:rsidRPr="00325420">
        <w:rPr>
          <w:i/>
        </w:rPr>
        <w:t>not</w:t>
      </w:r>
      <w:r>
        <w:t xml:space="preserve"> numbered but does include the Paragraphs that contain the guidance that constitutes GAAP.</w:t>
      </w:r>
    </w:p>
    <w:p w:rsidR="00F112FC" w:rsidRPr="00F112FC" w:rsidRDefault="00B82A2F" w:rsidP="0091797B">
      <w:pPr>
        <w:pStyle w:val="textbulletedlist"/>
        <w:widowControl/>
        <w:autoSpaceDE/>
        <w:autoSpaceDN/>
        <w:adjustRightInd/>
        <w:rPr>
          <w:b/>
          <w:u w:val="single"/>
        </w:rPr>
      </w:pPr>
      <w:r w:rsidRPr="0091797B">
        <w:rPr>
          <w:u w:val="single"/>
        </w:rPr>
        <w:t>Paragraphs</w:t>
      </w:r>
      <w:r>
        <w:t xml:space="preserve"> contain the guidance that constitutes GAAP.</w:t>
      </w:r>
    </w:p>
    <w:p w:rsidR="00875828" w:rsidRPr="008A30C9" w:rsidRDefault="00875828" w:rsidP="00875828">
      <w:pPr>
        <w:pStyle w:val="text"/>
        <w:rPr>
          <w:rFonts w:cs="Times"/>
          <w:sz w:val="4"/>
          <w:szCs w:val="4"/>
        </w:rPr>
      </w:pPr>
    </w:p>
    <w:p w:rsidR="005F59DE" w:rsidRDefault="005F59DE" w:rsidP="005F59DE">
      <w:pPr>
        <w:pStyle w:val="text"/>
      </w:pPr>
    </w:p>
    <w:p w:rsidR="00255EDC" w:rsidRDefault="00B82A2F" w:rsidP="00E230D4">
      <w:pPr>
        <w:pStyle w:val="text"/>
      </w:pPr>
      <w:r>
        <w:t>To find the GAAP for a particular accounting issue, after logging in you would go to the Area links in the left column of the home</w:t>
      </w:r>
      <w:r w:rsidR="007C18DD">
        <w:t xml:space="preserve"> </w:t>
      </w:r>
      <w:r>
        <w:t xml:space="preserve">page and click on an Area (e.g., Assets). This would bring you to a menu of Topics, after which you would click on one </w:t>
      </w:r>
      <w:r w:rsidR="001F1E35">
        <w:t>t</w:t>
      </w:r>
      <w:r>
        <w:t xml:space="preserve">opic. This would bring you to a menu containing Subtopics. After clicking on a Subtopic, this would bring you to a menu containing several Sections. Here, you would have to decide which Section is most likely to contain the answer to your question. You would click on that Section, which would bring you to the paragraphs containing the answer (GAAP) for your question. This completes your search. If you wanted to reference this answer, you would indicate that it can be found by listing the Topic, Subtopic, Section, and paragraph numbers (e.g., ASC 605-10-25-1). Now, suppose you had left this screen and wanted to go back to this paragraph. To save time, you could enter 605-10-25-1 in the </w:t>
      </w:r>
      <w:r w:rsidR="00877D51">
        <w:t>“</w:t>
      </w:r>
      <w:r>
        <w:t>Go To</w:t>
      </w:r>
      <w:r w:rsidR="00877D51">
        <w:t>”</w:t>
      </w:r>
      <w:r>
        <w:t xml:space="preserve"> box on the home</w:t>
      </w:r>
      <w:r w:rsidR="007C18DD">
        <w:t xml:space="preserve"> </w:t>
      </w:r>
      <w:r>
        <w:t>page, and it would bring you directly to the paragraph.</w:t>
      </w:r>
    </w:p>
    <w:p w:rsidR="001F1E35" w:rsidRDefault="001F1E35" w:rsidP="00E230D4">
      <w:pPr>
        <w:pStyle w:val="text"/>
      </w:pPr>
    </w:p>
    <w:p w:rsidR="00745EC9" w:rsidRDefault="00745EC9" w:rsidP="00E230D4">
      <w:pPr>
        <w:pStyle w:val="text"/>
      </w:pPr>
    </w:p>
    <w:p w:rsidR="00745EC9" w:rsidRDefault="00745EC9" w:rsidP="00E230D4">
      <w:pPr>
        <w:pStyle w:val="text"/>
      </w:pPr>
    </w:p>
    <w:p w:rsidR="00745EC9" w:rsidRDefault="00745EC9" w:rsidP="00E230D4">
      <w:pPr>
        <w:pStyle w:val="text"/>
        <w:sectPr w:rsidR="00745EC9" w:rsidSect="00745EC9">
          <w:headerReference w:type="default" r:id="rId15"/>
          <w:footerReference w:type="default" r:id="rId16"/>
          <w:footerReference w:type="first" r:id="rId17"/>
          <w:endnotePr>
            <w:numFmt w:val="decimal"/>
          </w:endnotePr>
          <w:pgSz w:w="12240" w:h="15840" w:code="1"/>
          <w:pgMar w:top="1440" w:right="1440" w:bottom="1440" w:left="1440" w:header="1440" w:footer="864" w:gutter="0"/>
          <w:cols w:space="720"/>
          <w:noEndnote/>
          <w:titlePg/>
          <w:docGrid w:linePitch="272"/>
        </w:sectPr>
      </w:pPr>
    </w:p>
    <w:p w:rsidR="00745EC9" w:rsidRDefault="00745EC9" w:rsidP="00E230D4">
      <w:pPr>
        <w:pStyle w:val="text"/>
      </w:pPr>
    </w:p>
    <w:p w:rsidR="00745EC9" w:rsidRDefault="00745EC9" w:rsidP="00E230D4">
      <w:pPr>
        <w:pStyle w:val="text"/>
      </w:pPr>
    </w:p>
    <w:p w:rsidR="00745EC9" w:rsidRDefault="00745EC9" w:rsidP="00E230D4">
      <w:pPr>
        <w:pStyle w:val="text"/>
      </w:pPr>
    </w:p>
    <w:p w:rsidR="00745EC9" w:rsidRPr="00255EDC" w:rsidRDefault="00745EC9" w:rsidP="00E230D4">
      <w:pPr>
        <w:pStyle w:val="text"/>
      </w:pPr>
    </w:p>
    <w:sectPr w:rsidR="00745EC9" w:rsidRPr="00255EDC" w:rsidSect="00745EC9">
      <w:footerReference w:type="first" r:id="rId18"/>
      <w:endnotePr>
        <w:numFmt w:val="decimal"/>
      </w:endnotePr>
      <w:pgSz w:w="12240" w:h="15840" w:code="1"/>
      <w:pgMar w:top="1440" w:right="1440" w:bottom="1440" w:left="1440" w:header="1440" w:footer="864"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A65" w:rsidRDefault="00115A65" w:rsidP="00DB6794">
      <w:r>
        <w:separator/>
      </w:r>
    </w:p>
  </w:endnote>
  <w:endnote w:type="continuationSeparator" w:id="0">
    <w:p w:rsidR="00115A65" w:rsidRDefault="00115A65" w:rsidP="00DB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A65" w:rsidRPr="001078C4" w:rsidRDefault="00115A65" w:rsidP="00783954">
    <w:pPr>
      <w:pStyle w:val="PageNo"/>
    </w:pPr>
    <w:r w:rsidRPr="001078C4">
      <w:t>1-</w:t>
    </w:r>
    <w:r w:rsidR="00C530C9">
      <w:fldChar w:fldCharType="begin"/>
    </w:r>
    <w:r w:rsidR="00C530C9">
      <w:instrText xml:space="preserve">PAGE </w:instrText>
    </w:r>
    <w:r w:rsidR="00C530C9">
      <w:fldChar w:fldCharType="separate"/>
    </w:r>
    <w:r w:rsidR="00C530C9">
      <w:rPr>
        <w:noProof/>
      </w:rPr>
      <w:t>21</w:t>
    </w:r>
    <w:r w:rsidR="00C530C9">
      <w:rPr>
        <w:noProof/>
      </w:rPr>
      <w:fldChar w:fldCharType="end"/>
    </w:r>
  </w:p>
  <w:p w:rsidR="00115A65" w:rsidRPr="003E280E" w:rsidRDefault="00115A65" w:rsidP="00783954">
    <w:pPr>
      <w:pStyle w:val="Copyright"/>
    </w:pPr>
    <w:r w:rsidRPr="003E280E">
      <w:t>© 201</w:t>
    </w:r>
    <w:r>
      <w:t>6</w:t>
    </w:r>
    <w:r w:rsidRPr="003E280E">
      <w:t xml:space="preserve">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EC9" w:rsidRPr="001078C4" w:rsidRDefault="00745EC9" w:rsidP="00745EC9">
    <w:pPr>
      <w:pStyle w:val="PageNo"/>
    </w:pPr>
    <w:r w:rsidRPr="001078C4">
      <w:t>1-</w:t>
    </w:r>
    <w:r w:rsidR="00C530C9">
      <w:fldChar w:fldCharType="begin"/>
    </w:r>
    <w:r w:rsidR="00C530C9">
      <w:instrText xml:space="preserve">PAGE </w:instrText>
    </w:r>
    <w:r w:rsidR="00C530C9">
      <w:fldChar w:fldCharType="separate"/>
    </w:r>
    <w:r w:rsidR="00C530C9">
      <w:rPr>
        <w:noProof/>
      </w:rPr>
      <w:t>5</w:t>
    </w:r>
    <w:r w:rsidR="00C530C9">
      <w:rPr>
        <w:noProof/>
      </w:rPr>
      <w:fldChar w:fldCharType="end"/>
    </w:r>
  </w:p>
  <w:p w:rsidR="00745EC9" w:rsidRDefault="00745EC9" w:rsidP="00745EC9">
    <w:pPr>
      <w:pStyle w:val="Copyright"/>
    </w:pPr>
    <w:r w:rsidRPr="003E280E">
      <w:t>© 201</w:t>
    </w:r>
    <w:r>
      <w:t>6</w:t>
    </w:r>
    <w:r w:rsidRPr="003E280E">
      <w:t xml:space="preserve"> Cengage Learning. All Rights Reserved. May not be scanned, copied or duplicated, or posted to a publicly accessible website, in whole or in part.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EC9" w:rsidRPr="00745EC9" w:rsidRDefault="00745EC9" w:rsidP="00745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A65" w:rsidRDefault="00115A65" w:rsidP="00DB6794">
      <w:r>
        <w:separator/>
      </w:r>
    </w:p>
  </w:footnote>
  <w:footnote w:type="continuationSeparator" w:id="0">
    <w:p w:rsidR="00115A65" w:rsidRDefault="00115A65" w:rsidP="00DB6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A65" w:rsidRDefault="00C530C9">
    <w:pPr>
      <w:pStyle w:val="Header"/>
    </w:pPr>
    <w:r>
      <w:rPr>
        <w:noProof/>
      </w:rPr>
      <mc:AlternateContent>
        <mc:Choice Requires="wps">
          <w:drawing>
            <wp:anchor distT="0" distB="0" distL="114300" distR="114300" simplePos="0" relativeHeight="251660288" behindDoc="0" locked="0" layoutInCell="1" allowOverlap="1" wp14:anchorId="0B48F79C">
              <wp:simplePos x="0" y="0"/>
              <wp:positionH relativeFrom="column">
                <wp:posOffset>-567055</wp:posOffset>
              </wp:positionH>
              <wp:positionV relativeFrom="paragraph">
                <wp:posOffset>90170</wp:posOffset>
              </wp:positionV>
              <wp:extent cx="455930" cy="5959475"/>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5959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5A65" w:rsidRPr="001078C4" w:rsidRDefault="00115A65" w:rsidP="00793520">
                          <w:pPr>
                            <w:pStyle w:val="PageNo"/>
                          </w:pPr>
                          <w:r w:rsidRPr="001078C4">
                            <w:t>1-</w:t>
                          </w:r>
                          <w:r w:rsidR="00C530C9">
                            <w:fldChar w:fldCharType="begin"/>
                          </w:r>
                          <w:r w:rsidR="00C530C9">
                            <w:instrText xml:space="preserve">PAGE </w:instrText>
                          </w:r>
                          <w:r w:rsidR="00C530C9">
                            <w:fldChar w:fldCharType="separate"/>
                          </w:r>
                          <w:r w:rsidR="00C530C9">
                            <w:rPr>
                              <w:noProof/>
                            </w:rPr>
                            <w:t>2</w:t>
                          </w:r>
                          <w:r w:rsidR="00C530C9">
                            <w:rPr>
                              <w:noProof/>
                            </w:rPr>
                            <w:fldChar w:fldCharType="end"/>
                          </w:r>
                        </w:p>
                        <w:p w:rsidR="00115A65" w:rsidRPr="003718F0" w:rsidRDefault="00115A65" w:rsidP="00716618">
                          <w:pPr>
                            <w:pStyle w:val="Copyright"/>
                          </w:pPr>
                          <w:r w:rsidRPr="003E280E">
                            <w:t>© 201</w:t>
                          </w:r>
                          <w:r>
                            <w:t>6</w:t>
                          </w:r>
                          <w:r w:rsidRPr="003E280E">
                            <w:t xml:space="preserve"> Cengage Learning. All Rights Reserved. May not be scanned, copied or duplicated, or posted to a publicly accessible website, in whole or in part.</w:t>
                          </w:r>
                        </w:p>
                      </w:txbxContent>
                    </wps:txbx>
                    <wps:bodyPr rot="0" vert="vert"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48F79C" id="_x0000_t202" coordsize="21600,21600" o:spt="202" path="m,l,21600r21600,l21600,xe">
              <v:stroke joinstyle="miter"/>
              <v:path gradientshapeok="t" o:connecttype="rect"/>
            </v:shapetype>
            <v:shape id="Text Box 3" o:spid="_x0000_s1026" type="#_x0000_t202" style="position:absolute;margin-left:-44.65pt;margin-top:7.1pt;width:35.9pt;height:469.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" stroked="f">
              <v:textbox style="layout-flow:vertical;mso-fit-shape-to-text:t">
                <w:txbxContent>
                  <w:p w:rsidR="00115A65" w:rsidRPr="001078C4" w:rsidRDefault="00115A65" w:rsidP="00793520">
                    <w:pPr>
                      <w:pStyle w:val="PageNo"/>
                    </w:pPr>
                    <w:r w:rsidRPr="001078C4">
                      <w:t>1-</w:t>
                    </w:r>
                    <w:r w:rsidR="00C530C9">
                      <w:fldChar w:fldCharType="begin"/>
                    </w:r>
                    <w:r w:rsidR="00C530C9">
                      <w:instrText xml:space="preserve">PAGE </w:instrText>
                    </w:r>
                    <w:r w:rsidR="00C530C9">
                      <w:fldChar w:fldCharType="separate"/>
                    </w:r>
                    <w:r w:rsidR="00C530C9">
                      <w:rPr>
                        <w:noProof/>
                      </w:rPr>
                      <w:t>2</w:t>
                    </w:r>
                    <w:r w:rsidR="00C530C9">
                      <w:rPr>
                        <w:noProof/>
                      </w:rPr>
                      <w:fldChar w:fldCharType="end"/>
                    </w:r>
                  </w:p>
                  <w:p w:rsidR="00115A65" w:rsidRPr="003718F0" w:rsidRDefault="00115A65" w:rsidP="00716618">
                    <w:pPr>
                      <w:pStyle w:val="Copyright"/>
                    </w:pPr>
                    <w:r w:rsidRPr="003E280E">
                      <w:t>© 201</w:t>
                    </w:r>
                    <w:r>
                      <w:t>6</w:t>
                    </w:r>
                    <w:r w:rsidRPr="003E280E">
                      <w:t xml:space="preserve"> Cengage Learning. All Rights Reserved. May not be scanned, copied or duplicated, or posted to a publicly accessible website, in whole or in part.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A65" w:rsidRDefault="00115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2BF"/>
    <w:multiLevelType w:val="hybridMultilevel"/>
    <w:tmpl w:val="61848820"/>
    <w:lvl w:ilvl="0" w:tplc="F438BF4C">
      <w:start w:val="5"/>
      <w:numFmt w:val="decimal"/>
      <w:lvlText w:val="%1."/>
      <w:lvlJc w:val="left"/>
      <w:pPr>
        <w:tabs>
          <w:tab w:val="num" w:pos="1555"/>
        </w:tabs>
        <w:ind w:left="1555" w:hanging="360"/>
      </w:pPr>
      <w:rPr>
        <w:rFonts w:hint="default"/>
      </w:r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 w15:restartNumberingAfterBreak="0">
    <w:nsid w:val="03DF1F75"/>
    <w:multiLevelType w:val="hybridMultilevel"/>
    <w:tmpl w:val="80B4E5FC"/>
    <w:lvl w:ilvl="0" w:tplc="2D48B35C">
      <w:start w:val="1"/>
      <w:numFmt w:val="upp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0DE13367"/>
    <w:multiLevelType w:val="hybridMultilevel"/>
    <w:tmpl w:val="712E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C32AF"/>
    <w:multiLevelType w:val="hybridMultilevel"/>
    <w:tmpl w:val="B1B02BB0"/>
    <w:lvl w:ilvl="0" w:tplc="77265776">
      <w:start w:val="1"/>
      <w:numFmt w:val="bullet"/>
      <w:pStyle w:val="text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A4C56"/>
    <w:multiLevelType w:val="hybridMultilevel"/>
    <w:tmpl w:val="8B62CD4C"/>
    <w:lvl w:ilvl="0" w:tplc="ACF84814">
      <w:start w:val="1"/>
      <w:numFmt w:val="none"/>
      <w:lvlText w:val="C1-4"/>
      <w:lvlJc w:val="left"/>
      <w:pPr>
        <w:tabs>
          <w:tab w:val="num" w:pos="360"/>
        </w:tabs>
        <w:ind w:left="360" w:hanging="360"/>
      </w:pPr>
      <w:rPr>
        <w:rFonts w:cs="Times New Roman" w:hint="default"/>
        <w:b/>
      </w:rPr>
    </w:lvl>
    <w:lvl w:ilvl="1" w:tplc="3C8AC872">
      <w:start w:val="1"/>
      <w:numFmt w:val="upperLetter"/>
      <w:lvlText w:val="%2."/>
      <w:lvlJc w:val="left"/>
      <w:pPr>
        <w:tabs>
          <w:tab w:val="num" w:pos="360"/>
        </w:tabs>
        <w:ind w:left="360" w:hanging="360"/>
      </w:pPr>
      <w:rPr>
        <w:rFonts w:cs="Arial" w:hint="default"/>
        <w:b w:val="0"/>
        <w:i w:val="0"/>
        <w:color w:val="auto"/>
        <w:sz w:val="24"/>
        <w:szCs w:val="24"/>
      </w:rPr>
    </w:lvl>
    <w:lvl w:ilvl="2" w:tplc="2CAC31B2">
      <w:start w:val="1"/>
      <w:numFmt w:val="decimal"/>
      <w:lvlText w:val="%3."/>
      <w:lvlJc w:val="left"/>
      <w:pPr>
        <w:tabs>
          <w:tab w:val="num" w:pos="360"/>
        </w:tabs>
        <w:ind w:left="360" w:hanging="360"/>
      </w:pPr>
      <w:rPr>
        <w:rFonts w:cs="Times New Roman" w:hint="default"/>
        <w:i w:val="0"/>
      </w:rPr>
    </w:lvl>
    <w:lvl w:ilvl="3" w:tplc="0C708FA0">
      <w:start w:val="1"/>
      <w:numFmt w:val="none"/>
      <w:lvlText w:val="C1-3"/>
      <w:lvlJc w:val="left"/>
      <w:pPr>
        <w:tabs>
          <w:tab w:val="num" w:pos="360"/>
        </w:tabs>
        <w:ind w:left="360" w:hanging="360"/>
      </w:pPr>
      <w:rPr>
        <w:rFonts w:cs="Times New Roman" w:hint="default"/>
        <w:b/>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A01AC6"/>
    <w:multiLevelType w:val="hybridMultilevel"/>
    <w:tmpl w:val="1D606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8B7000"/>
    <w:multiLevelType w:val="hybridMultilevel"/>
    <w:tmpl w:val="0EC8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02946"/>
    <w:multiLevelType w:val="multilevel"/>
    <w:tmpl w:val="20AE1884"/>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39A35C93"/>
    <w:multiLevelType w:val="hybridMultilevel"/>
    <w:tmpl w:val="7C9CDAF6"/>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9" w15:restartNumberingAfterBreak="0">
    <w:nsid w:val="3AEC3B1B"/>
    <w:multiLevelType w:val="hybridMultilevel"/>
    <w:tmpl w:val="90823D6E"/>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0" w15:restartNumberingAfterBreak="0">
    <w:nsid w:val="3C3E477A"/>
    <w:multiLevelType w:val="hybridMultilevel"/>
    <w:tmpl w:val="B9E624BE"/>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1" w15:restartNumberingAfterBreak="0">
    <w:nsid w:val="3C9B3FC8"/>
    <w:multiLevelType w:val="hybridMultilevel"/>
    <w:tmpl w:val="36E43B08"/>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2" w15:restartNumberingAfterBreak="0">
    <w:nsid w:val="48551F74"/>
    <w:multiLevelType w:val="hybridMultilevel"/>
    <w:tmpl w:val="8948131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7602F3"/>
    <w:multiLevelType w:val="hybridMultilevel"/>
    <w:tmpl w:val="B4D00C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0128F3"/>
    <w:multiLevelType w:val="hybridMultilevel"/>
    <w:tmpl w:val="C8E23076"/>
    <w:lvl w:ilvl="0" w:tplc="9D60130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151F30"/>
    <w:multiLevelType w:val="hybridMultilevel"/>
    <w:tmpl w:val="88244D10"/>
    <w:lvl w:ilvl="0" w:tplc="0AE2F0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30956C1"/>
    <w:multiLevelType w:val="hybridMultilevel"/>
    <w:tmpl w:val="EAC8814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E077B86"/>
    <w:multiLevelType w:val="hybridMultilevel"/>
    <w:tmpl w:val="4D5A01F2"/>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612F10F8"/>
    <w:multiLevelType w:val="hybridMultilevel"/>
    <w:tmpl w:val="12767F56"/>
    <w:lvl w:ilvl="0" w:tplc="C55CEC24">
      <w:start w:val="1"/>
      <w:numFmt w:val="decimal"/>
      <w:lvlText w:val="Q1-%1"/>
      <w:lvlJc w:val="left"/>
      <w:pPr>
        <w:tabs>
          <w:tab w:val="num" w:pos="1080"/>
        </w:tabs>
        <w:ind w:left="0" w:firstLine="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17F0B8C"/>
    <w:multiLevelType w:val="hybridMultilevel"/>
    <w:tmpl w:val="4F44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5F35D7"/>
    <w:multiLevelType w:val="hybridMultilevel"/>
    <w:tmpl w:val="1A2A20D0"/>
    <w:lvl w:ilvl="0" w:tplc="7990023C">
      <w:start w:val="1"/>
      <w:numFmt w:val="none"/>
      <w:lvlText w:val="C1-8"/>
      <w:lvlJc w:val="left"/>
      <w:pPr>
        <w:tabs>
          <w:tab w:val="num" w:pos="360"/>
        </w:tabs>
        <w:ind w:left="36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33213E9"/>
    <w:multiLevelType w:val="hybridMultilevel"/>
    <w:tmpl w:val="BCAE0FF4"/>
    <w:lvl w:ilvl="0" w:tplc="5EE4B528">
      <w:start w:val="1"/>
      <w:numFmt w:val="bullet"/>
      <w:pStyle w:val="QAbullettdlist"/>
      <w:lvlText w:val=""/>
      <w:lvlJc w:val="left"/>
      <w:pPr>
        <w:ind w:left="720" w:hanging="360"/>
      </w:pPr>
      <w:rPr>
        <w:rFonts w:ascii="Symbol" w:hAnsi="Symbol" w:hint="default"/>
      </w:rPr>
    </w:lvl>
    <w:lvl w:ilvl="1" w:tplc="3BE8B812">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D6C0B"/>
    <w:multiLevelType w:val="hybridMultilevel"/>
    <w:tmpl w:val="53428CA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12"/>
  </w:num>
  <w:num w:numId="2">
    <w:abstractNumId w:val="1"/>
  </w:num>
  <w:num w:numId="3">
    <w:abstractNumId w:val="8"/>
  </w:num>
  <w:num w:numId="4">
    <w:abstractNumId w:val="15"/>
  </w:num>
  <w:num w:numId="5">
    <w:abstractNumId w:val="0"/>
  </w:num>
  <w:num w:numId="6">
    <w:abstractNumId w:val="13"/>
  </w:num>
  <w:num w:numId="7">
    <w:abstractNumId w:val="22"/>
  </w:num>
  <w:num w:numId="8">
    <w:abstractNumId w:val="14"/>
  </w:num>
  <w:num w:numId="9">
    <w:abstractNumId w:val="18"/>
  </w:num>
  <w:num w:numId="10">
    <w:abstractNumId w:val="16"/>
  </w:num>
  <w:num w:numId="11">
    <w:abstractNumId w:val="17"/>
  </w:num>
  <w:num w:numId="12">
    <w:abstractNumId w:val="11"/>
  </w:num>
  <w:num w:numId="13">
    <w:abstractNumId w:val="4"/>
  </w:num>
  <w:num w:numId="14">
    <w:abstractNumId w:val="20"/>
  </w:num>
  <w:num w:numId="15">
    <w:abstractNumId w:val="6"/>
  </w:num>
  <w:num w:numId="16">
    <w:abstractNumId w:val="2"/>
  </w:num>
  <w:num w:numId="17">
    <w:abstractNumId w:val="5"/>
  </w:num>
  <w:num w:numId="18">
    <w:abstractNumId w:val="9"/>
  </w:num>
  <w:num w:numId="19">
    <w:abstractNumId w:val="7"/>
  </w:num>
  <w:num w:numId="20">
    <w:abstractNumId w:val="19"/>
  </w:num>
  <w:num w:numId="21">
    <w:abstractNumId w:val="21"/>
  </w:num>
  <w:num w:numId="22">
    <w:abstractNumId w:val="3"/>
  </w:num>
  <w:num w:numId="23">
    <w:abstractNumId w:val="21"/>
  </w:num>
  <w:num w:numId="24">
    <w:abstractNumId w:val="21"/>
  </w:num>
  <w:num w:numId="25">
    <w:abstractNumId w:val="21"/>
  </w:num>
  <w:num w:numId="26">
    <w:abstractNumId w:val="21"/>
  </w:num>
  <w:num w:numId="27">
    <w:abstractNumId w:val="1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614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401D3E"/>
    <w:rsid w:val="0000065A"/>
    <w:rsid w:val="00000AA8"/>
    <w:rsid w:val="000028F7"/>
    <w:rsid w:val="00004942"/>
    <w:rsid w:val="00006997"/>
    <w:rsid w:val="00006E13"/>
    <w:rsid w:val="000116EF"/>
    <w:rsid w:val="00011B86"/>
    <w:rsid w:val="0001660F"/>
    <w:rsid w:val="000320FD"/>
    <w:rsid w:val="000368AB"/>
    <w:rsid w:val="0004575D"/>
    <w:rsid w:val="00057702"/>
    <w:rsid w:val="00061A7E"/>
    <w:rsid w:val="00066840"/>
    <w:rsid w:val="000668F1"/>
    <w:rsid w:val="00067754"/>
    <w:rsid w:val="0006775E"/>
    <w:rsid w:val="000766A6"/>
    <w:rsid w:val="00080AEE"/>
    <w:rsid w:val="000861C7"/>
    <w:rsid w:val="0009000A"/>
    <w:rsid w:val="000908EB"/>
    <w:rsid w:val="0009107A"/>
    <w:rsid w:val="00091C7A"/>
    <w:rsid w:val="000959AB"/>
    <w:rsid w:val="00097FDE"/>
    <w:rsid w:val="000A1B5D"/>
    <w:rsid w:val="000A5400"/>
    <w:rsid w:val="000A6F7C"/>
    <w:rsid w:val="000B37AC"/>
    <w:rsid w:val="000C212D"/>
    <w:rsid w:val="000D1D7E"/>
    <w:rsid w:val="000D63B8"/>
    <w:rsid w:val="000D778D"/>
    <w:rsid w:val="000E67CA"/>
    <w:rsid w:val="000E6FE1"/>
    <w:rsid w:val="000F1558"/>
    <w:rsid w:val="00101FA0"/>
    <w:rsid w:val="001022E6"/>
    <w:rsid w:val="001056B8"/>
    <w:rsid w:val="001078C4"/>
    <w:rsid w:val="00110B91"/>
    <w:rsid w:val="00111D94"/>
    <w:rsid w:val="0011459D"/>
    <w:rsid w:val="00115A65"/>
    <w:rsid w:val="001210DC"/>
    <w:rsid w:val="001244FC"/>
    <w:rsid w:val="0012553A"/>
    <w:rsid w:val="00126D6E"/>
    <w:rsid w:val="001271B0"/>
    <w:rsid w:val="001302CB"/>
    <w:rsid w:val="00134691"/>
    <w:rsid w:val="00142006"/>
    <w:rsid w:val="0014259E"/>
    <w:rsid w:val="00143547"/>
    <w:rsid w:val="00144F4E"/>
    <w:rsid w:val="00145620"/>
    <w:rsid w:val="00147384"/>
    <w:rsid w:val="00147EA0"/>
    <w:rsid w:val="001569FF"/>
    <w:rsid w:val="00161496"/>
    <w:rsid w:val="0016292B"/>
    <w:rsid w:val="00164E49"/>
    <w:rsid w:val="00183A9C"/>
    <w:rsid w:val="001933FC"/>
    <w:rsid w:val="00196EA9"/>
    <w:rsid w:val="001A0303"/>
    <w:rsid w:val="001A1B1A"/>
    <w:rsid w:val="001A3C19"/>
    <w:rsid w:val="001A7117"/>
    <w:rsid w:val="001A7A33"/>
    <w:rsid w:val="001B1F73"/>
    <w:rsid w:val="001B229B"/>
    <w:rsid w:val="001C016C"/>
    <w:rsid w:val="001C24DC"/>
    <w:rsid w:val="001C32A9"/>
    <w:rsid w:val="001C5A18"/>
    <w:rsid w:val="001C7502"/>
    <w:rsid w:val="001D038C"/>
    <w:rsid w:val="001D5014"/>
    <w:rsid w:val="001E2040"/>
    <w:rsid w:val="001E4074"/>
    <w:rsid w:val="001F1E35"/>
    <w:rsid w:val="001F22EC"/>
    <w:rsid w:val="001F3D20"/>
    <w:rsid w:val="002011E3"/>
    <w:rsid w:val="00210502"/>
    <w:rsid w:val="00210B1E"/>
    <w:rsid w:val="0021732D"/>
    <w:rsid w:val="002401D5"/>
    <w:rsid w:val="0024035E"/>
    <w:rsid w:val="002432E7"/>
    <w:rsid w:val="002470C0"/>
    <w:rsid w:val="002472AF"/>
    <w:rsid w:val="00250171"/>
    <w:rsid w:val="002523CF"/>
    <w:rsid w:val="002542AE"/>
    <w:rsid w:val="00254DCB"/>
    <w:rsid w:val="002553BF"/>
    <w:rsid w:val="00255EDC"/>
    <w:rsid w:val="00260381"/>
    <w:rsid w:val="002611FF"/>
    <w:rsid w:val="00266838"/>
    <w:rsid w:val="002725A2"/>
    <w:rsid w:val="0027414A"/>
    <w:rsid w:val="0027430D"/>
    <w:rsid w:val="00275E2F"/>
    <w:rsid w:val="00277E7A"/>
    <w:rsid w:val="00283566"/>
    <w:rsid w:val="002837F0"/>
    <w:rsid w:val="00285F32"/>
    <w:rsid w:val="00287B80"/>
    <w:rsid w:val="00293817"/>
    <w:rsid w:val="00293A3A"/>
    <w:rsid w:val="00295BF8"/>
    <w:rsid w:val="002A1668"/>
    <w:rsid w:val="002A2FB9"/>
    <w:rsid w:val="002A6150"/>
    <w:rsid w:val="002A7531"/>
    <w:rsid w:val="002A7F60"/>
    <w:rsid w:val="002B70DB"/>
    <w:rsid w:val="002C25FB"/>
    <w:rsid w:val="002C5EA0"/>
    <w:rsid w:val="002D0A6C"/>
    <w:rsid w:val="002D2750"/>
    <w:rsid w:val="002D5BDB"/>
    <w:rsid w:val="002F1AD8"/>
    <w:rsid w:val="002F3826"/>
    <w:rsid w:val="002F4D8F"/>
    <w:rsid w:val="00301A9F"/>
    <w:rsid w:val="003042A9"/>
    <w:rsid w:val="003049A3"/>
    <w:rsid w:val="003102D0"/>
    <w:rsid w:val="0031115A"/>
    <w:rsid w:val="00314E33"/>
    <w:rsid w:val="00325420"/>
    <w:rsid w:val="00330C8D"/>
    <w:rsid w:val="00331FA3"/>
    <w:rsid w:val="00333423"/>
    <w:rsid w:val="0033534E"/>
    <w:rsid w:val="00340212"/>
    <w:rsid w:val="00342172"/>
    <w:rsid w:val="0034624B"/>
    <w:rsid w:val="00350A73"/>
    <w:rsid w:val="003629A5"/>
    <w:rsid w:val="00362D2A"/>
    <w:rsid w:val="00364E0D"/>
    <w:rsid w:val="00373A9E"/>
    <w:rsid w:val="00375521"/>
    <w:rsid w:val="003778C3"/>
    <w:rsid w:val="00381DBE"/>
    <w:rsid w:val="003858AC"/>
    <w:rsid w:val="003872E1"/>
    <w:rsid w:val="003902DC"/>
    <w:rsid w:val="00390FAF"/>
    <w:rsid w:val="00391FA5"/>
    <w:rsid w:val="003A16D2"/>
    <w:rsid w:val="003A38C2"/>
    <w:rsid w:val="003B0FED"/>
    <w:rsid w:val="003B41FD"/>
    <w:rsid w:val="003B58D0"/>
    <w:rsid w:val="003B6C39"/>
    <w:rsid w:val="003C3FB2"/>
    <w:rsid w:val="003C76E4"/>
    <w:rsid w:val="003D704C"/>
    <w:rsid w:val="003E280E"/>
    <w:rsid w:val="003E28E9"/>
    <w:rsid w:val="003E65A2"/>
    <w:rsid w:val="003F1150"/>
    <w:rsid w:val="00401D3E"/>
    <w:rsid w:val="004029B2"/>
    <w:rsid w:val="00405F93"/>
    <w:rsid w:val="00406B8C"/>
    <w:rsid w:val="0041128A"/>
    <w:rsid w:val="004123EF"/>
    <w:rsid w:val="004125F7"/>
    <w:rsid w:val="00415526"/>
    <w:rsid w:val="004204A3"/>
    <w:rsid w:val="004221A3"/>
    <w:rsid w:val="00425B14"/>
    <w:rsid w:val="00430361"/>
    <w:rsid w:val="00436D6E"/>
    <w:rsid w:val="00450676"/>
    <w:rsid w:val="00450B19"/>
    <w:rsid w:val="004520C3"/>
    <w:rsid w:val="0045270A"/>
    <w:rsid w:val="00453876"/>
    <w:rsid w:val="00453E46"/>
    <w:rsid w:val="00462EE0"/>
    <w:rsid w:val="00464AF0"/>
    <w:rsid w:val="00464BED"/>
    <w:rsid w:val="00465510"/>
    <w:rsid w:val="00467B60"/>
    <w:rsid w:val="00473F4C"/>
    <w:rsid w:val="00475A52"/>
    <w:rsid w:val="00477794"/>
    <w:rsid w:val="00490F83"/>
    <w:rsid w:val="004930B7"/>
    <w:rsid w:val="00496867"/>
    <w:rsid w:val="004A2618"/>
    <w:rsid w:val="004A3168"/>
    <w:rsid w:val="004A6EE3"/>
    <w:rsid w:val="004B1BBC"/>
    <w:rsid w:val="004B2A7F"/>
    <w:rsid w:val="004B2BAF"/>
    <w:rsid w:val="004B421B"/>
    <w:rsid w:val="004C3893"/>
    <w:rsid w:val="004E0D08"/>
    <w:rsid w:val="004E6C64"/>
    <w:rsid w:val="004F32C0"/>
    <w:rsid w:val="00501D97"/>
    <w:rsid w:val="00502C6E"/>
    <w:rsid w:val="00503FCD"/>
    <w:rsid w:val="005121FA"/>
    <w:rsid w:val="00516EA9"/>
    <w:rsid w:val="005214F2"/>
    <w:rsid w:val="00525B52"/>
    <w:rsid w:val="0052656D"/>
    <w:rsid w:val="005327DE"/>
    <w:rsid w:val="00534E4E"/>
    <w:rsid w:val="005372A8"/>
    <w:rsid w:val="00540FA6"/>
    <w:rsid w:val="005437B6"/>
    <w:rsid w:val="005438C3"/>
    <w:rsid w:val="00543F15"/>
    <w:rsid w:val="00546736"/>
    <w:rsid w:val="00554D01"/>
    <w:rsid w:val="005614E4"/>
    <w:rsid w:val="00573BAD"/>
    <w:rsid w:val="0057403B"/>
    <w:rsid w:val="005805DB"/>
    <w:rsid w:val="00581317"/>
    <w:rsid w:val="00591506"/>
    <w:rsid w:val="00593EB2"/>
    <w:rsid w:val="00595492"/>
    <w:rsid w:val="00596314"/>
    <w:rsid w:val="00596446"/>
    <w:rsid w:val="00597574"/>
    <w:rsid w:val="00597E1A"/>
    <w:rsid w:val="005A587A"/>
    <w:rsid w:val="005A5C95"/>
    <w:rsid w:val="005A5F5A"/>
    <w:rsid w:val="005A6A64"/>
    <w:rsid w:val="005A77CD"/>
    <w:rsid w:val="005B27AE"/>
    <w:rsid w:val="005B3BE4"/>
    <w:rsid w:val="005B5ECA"/>
    <w:rsid w:val="005C01C0"/>
    <w:rsid w:val="005C1440"/>
    <w:rsid w:val="005C468D"/>
    <w:rsid w:val="005D141E"/>
    <w:rsid w:val="005D5C1F"/>
    <w:rsid w:val="005D6610"/>
    <w:rsid w:val="005E1C80"/>
    <w:rsid w:val="005F2AF3"/>
    <w:rsid w:val="005F473B"/>
    <w:rsid w:val="005F59DE"/>
    <w:rsid w:val="00601925"/>
    <w:rsid w:val="0060212E"/>
    <w:rsid w:val="0060228C"/>
    <w:rsid w:val="006107BD"/>
    <w:rsid w:val="00615B3D"/>
    <w:rsid w:val="00616316"/>
    <w:rsid w:val="00617BD3"/>
    <w:rsid w:val="006239B8"/>
    <w:rsid w:val="006302C2"/>
    <w:rsid w:val="006328F9"/>
    <w:rsid w:val="006332D9"/>
    <w:rsid w:val="006345CC"/>
    <w:rsid w:val="00634D27"/>
    <w:rsid w:val="00650C05"/>
    <w:rsid w:val="006530DB"/>
    <w:rsid w:val="00654782"/>
    <w:rsid w:val="0066096A"/>
    <w:rsid w:val="006628BB"/>
    <w:rsid w:val="00662F05"/>
    <w:rsid w:val="0066321C"/>
    <w:rsid w:val="0066646B"/>
    <w:rsid w:val="00671215"/>
    <w:rsid w:val="00674598"/>
    <w:rsid w:val="00684CE9"/>
    <w:rsid w:val="00691D0E"/>
    <w:rsid w:val="00691EF2"/>
    <w:rsid w:val="006920AF"/>
    <w:rsid w:val="006934F4"/>
    <w:rsid w:val="006A525D"/>
    <w:rsid w:val="006A7EDD"/>
    <w:rsid w:val="006B01F7"/>
    <w:rsid w:val="006B14FC"/>
    <w:rsid w:val="006B37CB"/>
    <w:rsid w:val="006B444D"/>
    <w:rsid w:val="006C27FB"/>
    <w:rsid w:val="006C4E96"/>
    <w:rsid w:val="006C6E9B"/>
    <w:rsid w:val="006D1C0C"/>
    <w:rsid w:val="006D3C0E"/>
    <w:rsid w:val="006D57C3"/>
    <w:rsid w:val="006E6D38"/>
    <w:rsid w:val="006F51F5"/>
    <w:rsid w:val="006F70CE"/>
    <w:rsid w:val="00707A2B"/>
    <w:rsid w:val="00710597"/>
    <w:rsid w:val="00710CBE"/>
    <w:rsid w:val="007130D2"/>
    <w:rsid w:val="00716618"/>
    <w:rsid w:val="00722920"/>
    <w:rsid w:val="00731C09"/>
    <w:rsid w:val="007322F7"/>
    <w:rsid w:val="00732D1D"/>
    <w:rsid w:val="007347E3"/>
    <w:rsid w:val="0073659B"/>
    <w:rsid w:val="00742904"/>
    <w:rsid w:val="007435AB"/>
    <w:rsid w:val="00745EC9"/>
    <w:rsid w:val="00747D02"/>
    <w:rsid w:val="00751349"/>
    <w:rsid w:val="00751B21"/>
    <w:rsid w:val="007537B0"/>
    <w:rsid w:val="00754685"/>
    <w:rsid w:val="00762272"/>
    <w:rsid w:val="00762B35"/>
    <w:rsid w:val="007708B7"/>
    <w:rsid w:val="00773A5B"/>
    <w:rsid w:val="007756D4"/>
    <w:rsid w:val="0077707C"/>
    <w:rsid w:val="00783954"/>
    <w:rsid w:val="00791118"/>
    <w:rsid w:val="00793520"/>
    <w:rsid w:val="007945B5"/>
    <w:rsid w:val="007956B7"/>
    <w:rsid w:val="0079626B"/>
    <w:rsid w:val="007C0F78"/>
    <w:rsid w:val="007C18DD"/>
    <w:rsid w:val="007C4102"/>
    <w:rsid w:val="007E1C70"/>
    <w:rsid w:val="007E63EE"/>
    <w:rsid w:val="007F7EB6"/>
    <w:rsid w:val="0080110B"/>
    <w:rsid w:val="008054C8"/>
    <w:rsid w:val="00813DF0"/>
    <w:rsid w:val="00817E24"/>
    <w:rsid w:val="00823ADE"/>
    <w:rsid w:val="00824E74"/>
    <w:rsid w:val="008348D0"/>
    <w:rsid w:val="0083794B"/>
    <w:rsid w:val="008402D3"/>
    <w:rsid w:val="0084216D"/>
    <w:rsid w:val="00843D93"/>
    <w:rsid w:val="008455DF"/>
    <w:rsid w:val="00845F85"/>
    <w:rsid w:val="0085352D"/>
    <w:rsid w:val="008559CA"/>
    <w:rsid w:val="00855F42"/>
    <w:rsid w:val="00865AC2"/>
    <w:rsid w:val="00867903"/>
    <w:rsid w:val="0087042A"/>
    <w:rsid w:val="00870C1B"/>
    <w:rsid w:val="008714F5"/>
    <w:rsid w:val="0087266A"/>
    <w:rsid w:val="00873802"/>
    <w:rsid w:val="008742B8"/>
    <w:rsid w:val="00875828"/>
    <w:rsid w:val="008777E2"/>
    <w:rsid w:val="00877D51"/>
    <w:rsid w:val="00887670"/>
    <w:rsid w:val="00887C3D"/>
    <w:rsid w:val="008900D8"/>
    <w:rsid w:val="00892E6D"/>
    <w:rsid w:val="008931A6"/>
    <w:rsid w:val="008A30C9"/>
    <w:rsid w:val="008A7C71"/>
    <w:rsid w:val="008B0DC3"/>
    <w:rsid w:val="008B373E"/>
    <w:rsid w:val="008B4185"/>
    <w:rsid w:val="008B7FB2"/>
    <w:rsid w:val="008C041C"/>
    <w:rsid w:val="008C0D15"/>
    <w:rsid w:val="008C0F51"/>
    <w:rsid w:val="008C51B0"/>
    <w:rsid w:val="008D0BB2"/>
    <w:rsid w:val="008D0C59"/>
    <w:rsid w:val="008D2323"/>
    <w:rsid w:val="008D492C"/>
    <w:rsid w:val="008D7002"/>
    <w:rsid w:val="008D7ED6"/>
    <w:rsid w:val="008E60E4"/>
    <w:rsid w:val="008F19D3"/>
    <w:rsid w:val="008F1CDF"/>
    <w:rsid w:val="00902D8A"/>
    <w:rsid w:val="00903139"/>
    <w:rsid w:val="00905EA7"/>
    <w:rsid w:val="00906059"/>
    <w:rsid w:val="00906654"/>
    <w:rsid w:val="00910EDC"/>
    <w:rsid w:val="00914AAD"/>
    <w:rsid w:val="009154A0"/>
    <w:rsid w:val="0091797B"/>
    <w:rsid w:val="00917BA5"/>
    <w:rsid w:val="00922F29"/>
    <w:rsid w:val="009258D3"/>
    <w:rsid w:val="00931D86"/>
    <w:rsid w:val="009412A1"/>
    <w:rsid w:val="00941903"/>
    <w:rsid w:val="00944D7F"/>
    <w:rsid w:val="0095092C"/>
    <w:rsid w:val="00950988"/>
    <w:rsid w:val="00952344"/>
    <w:rsid w:val="009562DC"/>
    <w:rsid w:val="009568BF"/>
    <w:rsid w:val="009571F6"/>
    <w:rsid w:val="00963246"/>
    <w:rsid w:val="009679DC"/>
    <w:rsid w:val="009729A5"/>
    <w:rsid w:val="0097381E"/>
    <w:rsid w:val="00984D5C"/>
    <w:rsid w:val="009904A2"/>
    <w:rsid w:val="00995B2C"/>
    <w:rsid w:val="00997871"/>
    <w:rsid w:val="009A0434"/>
    <w:rsid w:val="009A127D"/>
    <w:rsid w:val="009A20DC"/>
    <w:rsid w:val="009A2A83"/>
    <w:rsid w:val="009A3AB0"/>
    <w:rsid w:val="009A493E"/>
    <w:rsid w:val="009A4D32"/>
    <w:rsid w:val="009A61EE"/>
    <w:rsid w:val="009B0923"/>
    <w:rsid w:val="009B10D0"/>
    <w:rsid w:val="009B1F7E"/>
    <w:rsid w:val="009B2C46"/>
    <w:rsid w:val="009B4045"/>
    <w:rsid w:val="009C0C56"/>
    <w:rsid w:val="009C5E61"/>
    <w:rsid w:val="009D2DA0"/>
    <w:rsid w:val="009D3233"/>
    <w:rsid w:val="009F2A18"/>
    <w:rsid w:val="009F5941"/>
    <w:rsid w:val="00A013C7"/>
    <w:rsid w:val="00A0185C"/>
    <w:rsid w:val="00A02308"/>
    <w:rsid w:val="00A047B1"/>
    <w:rsid w:val="00A1025E"/>
    <w:rsid w:val="00A11FCE"/>
    <w:rsid w:val="00A23333"/>
    <w:rsid w:val="00A259CF"/>
    <w:rsid w:val="00A415D1"/>
    <w:rsid w:val="00A42E08"/>
    <w:rsid w:val="00A462CB"/>
    <w:rsid w:val="00A63FDD"/>
    <w:rsid w:val="00A82C9F"/>
    <w:rsid w:val="00A85F85"/>
    <w:rsid w:val="00A90032"/>
    <w:rsid w:val="00A93A1E"/>
    <w:rsid w:val="00A944F2"/>
    <w:rsid w:val="00A95616"/>
    <w:rsid w:val="00A96440"/>
    <w:rsid w:val="00A964C4"/>
    <w:rsid w:val="00AA4E34"/>
    <w:rsid w:val="00AA69E0"/>
    <w:rsid w:val="00AA75BC"/>
    <w:rsid w:val="00AB02BF"/>
    <w:rsid w:val="00AC2F9E"/>
    <w:rsid w:val="00AC4FAF"/>
    <w:rsid w:val="00AC5969"/>
    <w:rsid w:val="00AD314F"/>
    <w:rsid w:val="00AE2F0B"/>
    <w:rsid w:val="00AE5450"/>
    <w:rsid w:val="00AE6A64"/>
    <w:rsid w:val="00AF608E"/>
    <w:rsid w:val="00B00D3C"/>
    <w:rsid w:val="00B07B09"/>
    <w:rsid w:val="00B12812"/>
    <w:rsid w:val="00B15FD5"/>
    <w:rsid w:val="00B177A7"/>
    <w:rsid w:val="00B21319"/>
    <w:rsid w:val="00B21AF8"/>
    <w:rsid w:val="00B3255F"/>
    <w:rsid w:val="00B333B6"/>
    <w:rsid w:val="00B3413D"/>
    <w:rsid w:val="00B53299"/>
    <w:rsid w:val="00B5744E"/>
    <w:rsid w:val="00B61569"/>
    <w:rsid w:val="00B6384F"/>
    <w:rsid w:val="00B63F24"/>
    <w:rsid w:val="00B6467C"/>
    <w:rsid w:val="00B662D2"/>
    <w:rsid w:val="00B72450"/>
    <w:rsid w:val="00B76AFE"/>
    <w:rsid w:val="00B815BD"/>
    <w:rsid w:val="00B82A2F"/>
    <w:rsid w:val="00B83938"/>
    <w:rsid w:val="00B91A3B"/>
    <w:rsid w:val="00B93466"/>
    <w:rsid w:val="00B9531F"/>
    <w:rsid w:val="00BA4CF6"/>
    <w:rsid w:val="00BA61E4"/>
    <w:rsid w:val="00BA71E3"/>
    <w:rsid w:val="00BA7C49"/>
    <w:rsid w:val="00BB0B84"/>
    <w:rsid w:val="00BB2211"/>
    <w:rsid w:val="00BB332D"/>
    <w:rsid w:val="00BC2678"/>
    <w:rsid w:val="00BC3865"/>
    <w:rsid w:val="00BC4E3D"/>
    <w:rsid w:val="00BC564E"/>
    <w:rsid w:val="00BC5A2D"/>
    <w:rsid w:val="00BD697D"/>
    <w:rsid w:val="00BE67D2"/>
    <w:rsid w:val="00BF06AC"/>
    <w:rsid w:val="00BF78F2"/>
    <w:rsid w:val="00C012E9"/>
    <w:rsid w:val="00C034B4"/>
    <w:rsid w:val="00C04BFA"/>
    <w:rsid w:val="00C0586B"/>
    <w:rsid w:val="00C1664A"/>
    <w:rsid w:val="00C16A9F"/>
    <w:rsid w:val="00C17AD6"/>
    <w:rsid w:val="00C21839"/>
    <w:rsid w:val="00C21AFE"/>
    <w:rsid w:val="00C26D09"/>
    <w:rsid w:val="00C373F4"/>
    <w:rsid w:val="00C40742"/>
    <w:rsid w:val="00C4119A"/>
    <w:rsid w:val="00C418BA"/>
    <w:rsid w:val="00C51FA6"/>
    <w:rsid w:val="00C530C9"/>
    <w:rsid w:val="00C54976"/>
    <w:rsid w:val="00C56875"/>
    <w:rsid w:val="00C676E6"/>
    <w:rsid w:val="00C72789"/>
    <w:rsid w:val="00C74CAB"/>
    <w:rsid w:val="00C871A1"/>
    <w:rsid w:val="00C946FA"/>
    <w:rsid w:val="00CA0C59"/>
    <w:rsid w:val="00CA4716"/>
    <w:rsid w:val="00CA49C1"/>
    <w:rsid w:val="00CE29A5"/>
    <w:rsid w:val="00CF0711"/>
    <w:rsid w:val="00CF26B8"/>
    <w:rsid w:val="00CF3488"/>
    <w:rsid w:val="00D033FD"/>
    <w:rsid w:val="00D16938"/>
    <w:rsid w:val="00D20252"/>
    <w:rsid w:val="00D20BD6"/>
    <w:rsid w:val="00D22A73"/>
    <w:rsid w:val="00D230D1"/>
    <w:rsid w:val="00D27787"/>
    <w:rsid w:val="00D306B1"/>
    <w:rsid w:val="00D316BC"/>
    <w:rsid w:val="00D32142"/>
    <w:rsid w:val="00D33302"/>
    <w:rsid w:val="00D37365"/>
    <w:rsid w:val="00D43106"/>
    <w:rsid w:val="00D431C5"/>
    <w:rsid w:val="00D52740"/>
    <w:rsid w:val="00D533D8"/>
    <w:rsid w:val="00D53629"/>
    <w:rsid w:val="00D57B76"/>
    <w:rsid w:val="00D61BBC"/>
    <w:rsid w:val="00D74E98"/>
    <w:rsid w:val="00D80D9A"/>
    <w:rsid w:val="00D8499B"/>
    <w:rsid w:val="00D866F6"/>
    <w:rsid w:val="00D87788"/>
    <w:rsid w:val="00DA4B88"/>
    <w:rsid w:val="00DB03C3"/>
    <w:rsid w:val="00DB0BE6"/>
    <w:rsid w:val="00DB2E5D"/>
    <w:rsid w:val="00DB6794"/>
    <w:rsid w:val="00DC17D9"/>
    <w:rsid w:val="00DC221C"/>
    <w:rsid w:val="00DD2A82"/>
    <w:rsid w:val="00DD714D"/>
    <w:rsid w:val="00DE0349"/>
    <w:rsid w:val="00DE3B94"/>
    <w:rsid w:val="00DE7D80"/>
    <w:rsid w:val="00DF460C"/>
    <w:rsid w:val="00E11406"/>
    <w:rsid w:val="00E114BA"/>
    <w:rsid w:val="00E21869"/>
    <w:rsid w:val="00E21AB4"/>
    <w:rsid w:val="00E22AD5"/>
    <w:rsid w:val="00E230D4"/>
    <w:rsid w:val="00E25123"/>
    <w:rsid w:val="00E254D2"/>
    <w:rsid w:val="00E32354"/>
    <w:rsid w:val="00E40564"/>
    <w:rsid w:val="00E42E4F"/>
    <w:rsid w:val="00E4588E"/>
    <w:rsid w:val="00E46B18"/>
    <w:rsid w:val="00E5359B"/>
    <w:rsid w:val="00E53C5C"/>
    <w:rsid w:val="00E556C2"/>
    <w:rsid w:val="00E5584F"/>
    <w:rsid w:val="00E61793"/>
    <w:rsid w:val="00E61798"/>
    <w:rsid w:val="00E7046A"/>
    <w:rsid w:val="00E70989"/>
    <w:rsid w:val="00E71432"/>
    <w:rsid w:val="00E80AA8"/>
    <w:rsid w:val="00E91AA1"/>
    <w:rsid w:val="00E9403F"/>
    <w:rsid w:val="00E95BE3"/>
    <w:rsid w:val="00EA01E2"/>
    <w:rsid w:val="00EA145A"/>
    <w:rsid w:val="00EA15E1"/>
    <w:rsid w:val="00EA76CC"/>
    <w:rsid w:val="00EA7D47"/>
    <w:rsid w:val="00EB0D4E"/>
    <w:rsid w:val="00EC3611"/>
    <w:rsid w:val="00EC3BC0"/>
    <w:rsid w:val="00ED179D"/>
    <w:rsid w:val="00ED1FE6"/>
    <w:rsid w:val="00ED7AF6"/>
    <w:rsid w:val="00EF2D4F"/>
    <w:rsid w:val="00F0442A"/>
    <w:rsid w:val="00F04488"/>
    <w:rsid w:val="00F06579"/>
    <w:rsid w:val="00F112FC"/>
    <w:rsid w:val="00F132D7"/>
    <w:rsid w:val="00F133DC"/>
    <w:rsid w:val="00F1352F"/>
    <w:rsid w:val="00F15356"/>
    <w:rsid w:val="00F2106D"/>
    <w:rsid w:val="00F30DDD"/>
    <w:rsid w:val="00F32F60"/>
    <w:rsid w:val="00F450F1"/>
    <w:rsid w:val="00F4607E"/>
    <w:rsid w:val="00F476D1"/>
    <w:rsid w:val="00F51CE7"/>
    <w:rsid w:val="00F54BA6"/>
    <w:rsid w:val="00F5761C"/>
    <w:rsid w:val="00F60AC6"/>
    <w:rsid w:val="00F70B11"/>
    <w:rsid w:val="00F80338"/>
    <w:rsid w:val="00F80613"/>
    <w:rsid w:val="00F82EDD"/>
    <w:rsid w:val="00F864B8"/>
    <w:rsid w:val="00FA3276"/>
    <w:rsid w:val="00FA34C3"/>
    <w:rsid w:val="00FB5264"/>
    <w:rsid w:val="00FC2076"/>
    <w:rsid w:val="00FC6951"/>
    <w:rsid w:val="00FD04DD"/>
    <w:rsid w:val="00FD0EC2"/>
    <w:rsid w:val="00FD368A"/>
    <w:rsid w:val="00FD7555"/>
    <w:rsid w:val="00FE0D30"/>
    <w:rsid w:val="00FE1879"/>
    <w:rsid w:val="00FE1E15"/>
    <w:rsid w:val="00FE4C65"/>
    <w:rsid w:val="00FE776A"/>
    <w:rsid w:val="00FF6C98"/>
    <w:rsid w:val="00FF79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5:docId w15:val="{F99AFFE9-8B17-4F15-9088-1EFDA2EC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D20"/>
    <w:pPr>
      <w:widowControl w:val="0"/>
      <w:autoSpaceDE w:val="0"/>
      <w:autoSpaceDN w:val="0"/>
      <w:adjustRightInd w:val="0"/>
    </w:pPr>
    <w:rPr>
      <w:rFonts w:ascii="Century Gothic" w:hAnsi="Century Gothic"/>
      <w:szCs w:val="24"/>
    </w:rPr>
  </w:style>
  <w:style w:type="paragraph" w:styleId="Heading1">
    <w:name w:val="heading 1"/>
    <w:basedOn w:val="Normal"/>
    <w:next w:val="Normal"/>
    <w:qFormat/>
    <w:rsid w:val="001F3D20"/>
    <w:pPr>
      <w:keepNext/>
      <w:tabs>
        <w:tab w:val="center" w:pos="4680"/>
      </w:tabs>
      <w:spacing w:after="240"/>
      <w:jc w:val="center"/>
      <w:outlineLvl w:val="0"/>
    </w:pPr>
    <w:rPr>
      <w:b/>
      <w:bCs/>
      <w:sz w:val="24"/>
      <w:szCs w:val="20"/>
    </w:rPr>
  </w:style>
  <w:style w:type="paragraph" w:styleId="Heading2">
    <w:name w:val="heading 2"/>
    <w:basedOn w:val="Normal"/>
    <w:next w:val="Normal"/>
    <w:qFormat/>
    <w:rsid w:val="008F19D3"/>
    <w:pPr>
      <w:keepNext/>
      <w:spacing w:after="120"/>
      <w:jc w:val="center"/>
      <w:outlineLvl w:val="1"/>
    </w:pPr>
    <w:rPr>
      <w:szCs w:val="20"/>
      <w:u w:val="single"/>
    </w:rPr>
  </w:style>
  <w:style w:type="paragraph" w:styleId="Heading3">
    <w:name w:val="heading 3"/>
    <w:basedOn w:val="Normal"/>
    <w:next w:val="Normal"/>
    <w:link w:val="Heading3Char"/>
    <w:uiPriority w:val="9"/>
    <w:unhideWhenUsed/>
    <w:qFormat/>
    <w:rsid w:val="00691E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02D8A"/>
  </w:style>
  <w:style w:type="paragraph" w:styleId="Header">
    <w:name w:val="header"/>
    <w:basedOn w:val="Normal"/>
    <w:semiHidden/>
    <w:rsid w:val="00902D8A"/>
    <w:pPr>
      <w:tabs>
        <w:tab w:val="center" w:pos="4320"/>
        <w:tab w:val="right" w:pos="8640"/>
      </w:tabs>
    </w:pPr>
  </w:style>
  <w:style w:type="paragraph" w:styleId="Footer">
    <w:name w:val="footer"/>
    <w:basedOn w:val="Normal"/>
    <w:semiHidden/>
    <w:rsid w:val="00902D8A"/>
    <w:pPr>
      <w:tabs>
        <w:tab w:val="center" w:pos="4320"/>
        <w:tab w:val="right" w:pos="8640"/>
      </w:tabs>
    </w:pPr>
  </w:style>
  <w:style w:type="character" w:styleId="PageNumber">
    <w:name w:val="page number"/>
    <w:basedOn w:val="DefaultParagraphFont"/>
    <w:semiHidden/>
    <w:rsid w:val="00902D8A"/>
  </w:style>
  <w:style w:type="paragraph" w:styleId="BodyTextIndent">
    <w:name w:val="Body Text Indent"/>
    <w:basedOn w:val="Normal"/>
    <w:semiHidden/>
    <w:rsid w:val="00902D8A"/>
    <w:pPr>
      <w:tabs>
        <w:tab w:val="left" w:pos="-1440"/>
        <w:tab w:val="left" w:pos="-720"/>
        <w:tab w:val="left" w:pos="0"/>
        <w:tab w:val="left" w:pos="1195"/>
        <w:tab w:val="left" w:pos="1675"/>
        <w:tab w:val="left" w:pos="2155"/>
        <w:tab w:val="left" w:pos="2755"/>
        <w:tab w:val="left" w:pos="3355"/>
        <w:tab w:val="left" w:pos="4320"/>
        <w:tab w:val="left" w:pos="8510"/>
      </w:tabs>
      <w:spacing w:before="120"/>
      <w:ind w:left="1195"/>
    </w:pPr>
    <w:rPr>
      <w:szCs w:val="20"/>
    </w:rPr>
  </w:style>
  <w:style w:type="paragraph" w:styleId="BodyTextIndent2">
    <w:name w:val="Body Text Indent 2"/>
    <w:basedOn w:val="Normal"/>
    <w:semiHidden/>
    <w:rsid w:val="00902D8A"/>
    <w:pPr>
      <w:tabs>
        <w:tab w:val="left" w:pos="-1440"/>
        <w:tab w:val="left" w:pos="-720"/>
        <w:tab w:val="left" w:pos="900"/>
        <w:tab w:val="left" w:pos="1080"/>
        <w:tab w:val="left" w:pos="1310"/>
        <w:tab w:val="left" w:pos="1800"/>
        <w:tab w:val="left" w:pos="2160"/>
        <w:tab w:val="left" w:pos="5328"/>
        <w:tab w:val="left" w:pos="6768"/>
        <w:tab w:val="left" w:pos="8208"/>
      </w:tabs>
      <w:ind w:left="900" w:hanging="900"/>
    </w:pPr>
    <w:rPr>
      <w:szCs w:val="20"/>
    </w:rPr>
  </w:style>
  <w:style w:type="paragraph" w:styleId="BodyTextIndent3">
    <w:name w:val="Body Text Indent 3"/>
    <w:basedOn w:val="Normal"/>
    <w:semiHidden/>
    <w:rsid w:val="00902D8A"/>
    <w:pPr>
      <w:tabs>
        <w:tab w:val="left" w:pos="-1440"/>
        <w:tab w:val="left" w:pos="-720"/>
        <w:tab w:val="left" w:pos="900"/>
        <w:tab w:val="left" w:pos="1080"/>
        <w:tab w:val="left" w:pos="1310"/>
        <w:tab w:val="left" w:pos="1800"/>
        <w:tab w:val="left" w:pos="2160"/>
        <w:tab w:val="left" w:pos="5328"/>
        <w:tab w:val="left" w:pos="6768"/>
        <w:tab w:val="left" w:pos="8208"/>
      </w:tabs>
      <w:ind w:left="907" w:hanging="907"/>
    </w:pPr>
    <w:rPr>
      <w:szCs w:val="20"/>
    </w:rPr>
  </w:style>
  <w:style w:type="character" w:styleId="Hyperlink">
    <w:name w:val="Hyperlink"/>
    <w:basedOn w:val="DefaultParagraphFont"/>
    <w:semiHidden/>
    <w:rsid w:val="00902D8A"/>
    <w:rPr>
      <w:color w:val="0000FF"/>
      <w:u w:val="single"/>
    </w:rPr>
  </w:style>
  <w:style w:type="character" w:styleId="CommentReference">
    <w:name w:val="annotation reference"/>
    <w:basedOn w:val="DefaultParagraphFont"/>
    <w:rsid w:val="00887C3D"/>
    <w:rPr>
      <w:sz w:val="16"/>
      <w:szCs w:val="16"/>
    </w:rPr>
  </w:style>
  <w:style w:type="paragraph" w:styleId="CommentText">
    <w:name w:val="annotation text"/>
    <w:basedOn w:val="Normal"/>
    <w:link w:val="CommentTextChar"/>
    <w:rsid w:val="00887C3D"/>
    <w:pPr>
      <w:widowControl/>
      <w:autoSpaceDE/>
      <w:autoSpaceDN/>
      <w:adjustRightInd/>
    </w:pPr>
    <w:rPr>
      <w:rFonts w:ascii="Helvetica" w:hAnsi="Helvetica"/>
      <w:szCs w:val="20"/>
    </w:rPr>
  </w:style>
  <w:style w:type="character" w:customStyle="1" w:styleId="CommentTextChar">
    <w:name w:val="Comment Text Char"/>
    <w:basedOn w:val="DefaultParagraphFont"/>
    <w:link w:val="CommentText"/>
    <w:rsid w:val="00887C3D"/>
    <w:rPr>
      <w:rFonts w:ascii="Helvetica" w:hAnsi="Helvetica"/>
    </w:rPr>
  </w:style>
  <w:style w:type="paragraph" w:styleId="BalloonText">
    <w:name w:val="Balloon Text"/>
    <w:basedOn w:val="Normal"/>
    <w:link w:val="BalloonTextChar"/>
    <w:uiPriority w:val="99"/>
    <w:semiHidden/>
    <w:unhideWhenUsed/>
    <w:rsid w:val="00887C3D"/>
    <w:rPr>
      <w:rFonts w:ascii="Tahoma" w:hAnsi="Tahoma" w:cs="Tahoma"/>
      <w:sz w:val="16"/>
      <w:szCs w:val="16"/>
    </w:rPr>
  </w:style>
  <w:style w:type="character" w:customStyle="1" w:styleId="BalloonTextChar">
    <w:name w:val="Balloon Text Char"/>
    <w:basedOn w:val="DefaultParagraphFont"/>
    <w:link w:val="BalloonText"/>
    <w:uiPriority w:val="99"/>
    <w:semiHidden/>
    <w:rsid w:val="00887C3D"/>
    <w:rPr>
      <w:rFonts w:ascii="Tahoma" w:hAnsi="Tahoma" w:cs="Tahoma"/>
      <w:sz w:val="16"/>
      <w:szCs w:val="16"/>
    </w:rPr>
  </w:style>
  <w:style w:type="paragraph" w:styleId="ListParagraph">
    <w:name w:val="List Paragraph"/>
    <w:basedOn w:val="Normal"/>
    <w:link w:val="ListParagraphChar"/>
    <w:uiPriority w:val="34"/>
    <w:rsid w:val="00057702"/>
    <w:pPr>
      <w:ind w:left="720"/>
    </w:pPr>
  </w:style>
  <w:style w:type="paragraph" w:styleId="CommentSubject">
    <w:name w:val="annotation subject"/>
    <w:basedOn w:val="CommentText"/>
    <w:next w:val="CommentText"/>
    <w:link w:val="CommentSubjectChar"/>
    <w:uiPriority w:val="99"/>
    <w:semiHidden/>
    <w:unhideWhenUsed/>
    <w:rsid w:val="00B3255F"/>
    <w:pPr>
      <w:widowControl w:val="0"/>
      <w:autoSpaceDE w:val="0"/>
      <w:autoSpaceDN w:val="0"/>
      <w:adjustRightInd w:val="0"/>
    </w:pPr>
    <w:rPr>
      <w:rFonts w:ascii="Century Gothic" w:hAnsi="Century Gothic"/>
      <w:b/>
      <w:bCs/>
    </w:rPr>
  </w:style>
  <w:style w:type="character" w:customStyle="1" w:styleId="CommentSubjectChar">
    <w:name w:val="Comment Subject Char"/>
    <w:basedOn w:val="CommentTextChar"/>
    <w:link w:val="CommentSubject"/>
    <w:uiPriority w:val="99"/>
    <w:semiHidden/>
    <w:rsid w:val="00B3255F"/>
    <w:rPr>
      <w:rFonts w:ascii="Century Gothic" w:hAnsi="Century Gothic"/>
      <w:b/>
      <w:bCs/>
    </w:rPr>
  </w:style>
  <w:style w:type="paragraph" w:customStyle="1" w:styleId="text">
    <w:name w:val="text"/>
    <w:basedOn w:val="Normal"/>
    <w:link w:val="textChar"/>
    <w:qFormat/>
    <w:rsid w:val="00D230D1"/>
    <w:pPr>
      <w:tabs>
        <w:tab w:val="left" w:pos="720"/>
      </w:tabs>
    </w:pPr>
    <w:rPr>
      <w:rFonts w:cs="Arial"/>
      <w:szCs w:val="22"/>
    </w:rPr>
  </w:style>
  <w:style w:type="character" w:customStyle="1" w:styleId="textChar">
    <w:name w:val="text Char"/>
    <w:basedOn w:val="DefaultParagraphFont"/>
    <w:link w:val="text"/>
    <w:rsid w:val="00D230D1"/>
    <w:rPr>
      <w:rFonts w:ascii="Century Gothic" w:hAnsi="Century Gothic" w:cs="Arial"/>
      <w:szCs w:val="22"/>
    </w:rPr>
  </w:style>
  <w:style w:type="character" w:customStyle="1" w:styleId="Heading3Char">
    <w:name w:val="Heading 3 Char"/>
    <w:basedOn w:val="DefaultParagraphFont"/>
    <w:link w:val="Heading3"/>
    <w:uiPriority w:val="9"/>
    <w:rsid w:val="00691EF2"/>
    <w:rPr>
      <w:rFonts w:asciiTheme="majorHAnsi" w:eastAsiaTheme="majorEastAsia" w:hAnsiTheme="majorHAnsi" w:cstheme="majorBidi"/>
      <w:b/>
      <w:bCs/>
      <w:color w:val="4F81BD" w:themeColor="accent1"/>
      <w:szCs w:val="24"/>
    </w:rPr>
  </w:style>
  <w:style w:type="paragraph" w:customStyle="1" w:styleId="QA">
    <w:name w:val="Q&amp;A"/>
    <w:basedOn w:val="Normal"/>
    <w:link w:val="QAChar"/>
    <w:qFormat/>
    <w:rsid w:val="0084216D"/>
    <w:pPr>
      <w:tabs>
        <w:tab w:val="left" w:pos="1080"/>
      </w:tabs>
      <w:ind w:left="1080" w:hanging="1080"/>
    </w:pPr>
    <w:rPr>
      <w:rFonts w:cs="Arial"/>
      <w:szCs w:val="22"/>
    </w:rPr>
  </w:style>
  <w:style w:type="paragraph" w:customStyle="1" w:styleId="QAbullettdlist">
    <w:name w:val="Q&amp;A bullettd list"/>
    <w:basedOn w:val="ListParagraph"/>
    <w:link w:val="QAbullettdlistChar"/>
    <w:autoRedefine/>
    <w:qFormat/>
    <w:rsid w:val="0083794B"/>
    <w:pPr>
      <w:numPr>
        <w:numId w:val="21"/>
      </w:numPr>
      <w:tabs>
        <w:tab w:val="left" w:pos="1440"/>
      </w:tabs>
      <w:spacing w:before="60"/>
    </w:pPr>
    <w:rPr>
      <w:rFonts w:cs="Tahoma"/>
      <w:color w:val="000000"/>
      <w:szCs w:val="20"/>
    </w:rPr>
  </w:style>
  <w:style w:type="character" w:customStyle="1" w:styleId="QAChar">
    <w:name w:val="Q&amp;A Char"/>
    <w:basedOn w:val="DefaultParagraphFont"/>
    <w:link w:val="QA"/>
    <w:rsid w:val="0084216D"/>
    <w:rPr>
      <w:rFonts w:ascii="Century Gothic" w:hAnsi="Century Gothic" w:cs="Arial"/>
      <w:szCs w:val="22"/>
    </w:rPr>
  </w:style>
  <w:style w:type="paragraph" w:customStyle="1" w:styleId="QAnumberedlist">
    <w:name w:val="Q&amp;A numbered list"/>
    <w:basedOn w:val="Normal"/>
    <w:link w:val="QAnumberedlistChar"/>
    <w:qFormat/>
    <w:rsid w:val="0084216D"/>
    <w:pPr>
      <w:tabs>
        <w:tab w:val="left" w:pos="1440"/>
      </w:tabs>
      <w:spacing w:before="80"/>
      <w:ind w:left="1440" w:hanging="360"/>
    </w:pPr>
    <w:rPr>
      <w:rFonts w:cs="Arial"/>
      <w:szCs w:val="22"/>
    </w:rPr>
  </w:style>
  <w:style w:type="character" w:customStyle="1" w:styleId="ListParagraphChar">
    <w:name w:val="List Paragraph Char"/>
    <w:basedOn w:val="DefaultParagraphFont"/>
    <w:link w:val="ListParagraph"/>
    <w:uiPriority w:val="34"/>
    <w:rsid w:val="0033534E"/>
    <w:rPr>
      <w:rFonts w:ascii="Century Gothic" w:hAnsi="Century Gothic"/>
      <w:szCs w:val="24"/>
    </w:rPr>
  </w:style>
  <w:style w:type="character" w:customStyle="1" w:styleId="QAbullettdlistChar">
    <w:name w:val="Q&amp;A bullettd list Char"/>
    <w:basedOn w:val="ListParagraphChar"/>
    <w:link w:val="QAbullettdlist"/>
    <w:rsid w:val="0083794B"/>
    <w:rPr>
      <w:rFonts w:ascii="Century Gothic" w:hAnsi="Century Gothic" w:cs="Tahoma"/>
      <w:color w:val="000000"/>
      <w:szCs w:val="24"/>
    </w:rPr>
  </w:style>
  <w:style w:type="paragraph" w:customStyle="1" w:styleId="QAsub">
    <w:name w:val="Q&amp;A sub"/>
    <w:basedOn w:val="Normal"/>
    <w:link w:val="QAsubChar"/>
    <w:qFormat/>
    <w:rsid w:val="00674598"/>
    <w:pPr>
      <w:tabs>
        <w:tab w:val="left" w:pos="1080"/>
        <w:tab w:val="left" w:pos="1620"/>
      </w:tabs>
      <w:ind w:left="1620" w:hanging="1620"/>
    </w:pPr>
    <w:rPr>
      <w:rFonts w:cs="Arial"/>
      <w:szCs w:val="22"/>
    </w:rPr>
  </w:style>
  <w:style w:type="character" w:customStyle="1" w:styleId="QAnumberedlistChar">
    <w:name w:val="Q&amp;A numbered list Char"/>
    <w:basedOn w:val="DefaultParagraphFont"/>
    <w:link w:val="QAnumberedlist"/>
    <w:rsid w:val="0084216D"/>
    <w:rPr>
      <w:rFonts w:ascii="Century Gothic" w:hAnsi="Century Gothic" w:cs="Arial"/>
      <w:szCs w:val="22"/>
    </w:rPr>
  </w:style>
  <w:style w:type="paragraph" w:customStyle="1" w:styleId="6pt">
    <w:name w:val="6 pt"/>
    <w:basedOn w:val="Normal"/>
    <w:link w:val="6ptChar"/>
    <w:qFormat/>
    <w:rsid w:val="001F3D20"/>
    <w:pPr>
      <w:spacing w:line="120" w:lineRule="exact"/>
    </w:pPr>
    <w:rPr>
      <w:rFonts w:cs="Arial"/>
      <w:sz w:val="12"/>
      <w:szCs w:val="12"/>
    </w:rPr>
  </w:style>
  <w:style w:type="character" w:customStyle="1" w:styleId="QAsubChar">
    <w:name w:val="Q&amp;A sub Char"/>
    <w:basedOn w:val="DefaultParagraphFont"/>
    <w:link w:val="QAsub"/>
    <w:rsid w:val="00674598"/>
    <w:rPr>
      <w:rFonts w:ascii="Century Gothic" w:hAnsi="Century Gothic" w:cs="Arial"/>
      <w:szCs w:val="22"/>
    </w:rPr>
  </w:style>
  <w:style w:type="paragraph" w:customStyle="1" w:styleId="NumList">
    <w:name w:val="NumList"/>
    <w:basedOn w:val="Normal"/>
    <w:link w:val="NumListChar"/>
    <w:qFormat/>
    <w:rsid w:val="001F3D20"/>
    <w:pPr>
      <w:tabs>
        <w:tab w:val="left" w:pos="720"/>
      </w:tabs>
      <w:ind w:left="720" w:hanging="720"/>
    </w:pPr>
    <w:rPr>
      <w:rFonts w:cs="Arial"/>
      <w:szCs w:val="22"/>
    </w:rPr>
  </w:style>
  <w:style w:type="character" w:customStyle="1" w:styleId="6ptChar">
    <w:name w:val="6 pt Char"/>
    <w:basedOn w:val="DefaultParagraphFont"/>
    <w:link w:val="6pt"/>
    <w:rsid w:val="001F3D20"/>
    <w:rPr>
      <w:rFonts w:ascii="Century Gothic" w:hAnsi="Century Gothic" w:cs="Arial"/>
      <w:sz w:val="12"/>
      <w:szCs w:val="12"/>
    </w:rPr>
  </w:style>
  <w:style w:type="character" w:customStyle="1" w:styleId="NumListChar">
    <w:name w:val="NumList Char"/>
    <w:basedOn w:val="DefaultParagraphFont"/>
    <w:link w:val="NumList"/>
    <w:rsid w:val="001F3D20"/>
    <w:rPr>
      <w:rFonts w:ascii="Century Gothic" w:hAnsi="Century Gothic" w:cs="Arial"/>
      <w:szCs w:val="22"/>
    </w:rPr>
  </w:style>
  <w:style w:type="paragraph" w:customStyle="1" w:styleId="textbulletedlist">
    <w:name w:val="text bulleted list"/>
    <w:basedOn w:val="text"/>
    <w:link w:val="textbulletedlistChar"/>
    <w:qFormat/>
    <w:rsid w:val="00D20252"/>
    <w:pPr>
      <w:numPr>
        <w:numId w:val="22"/>
      </w:numPr>
      <w:spacing w:before="80"/>
    </w:pPr>
  </w:style>
  <w:style w:type="character" w:customStyle="1" w:styleId="textbulletedlistChar">
    <w:name w:val="text bulleted list Char"/>
    <w:basedOn w:val="textChar"/>
    <w:link w:val="textbulletedlist"/>
    <w:rsid w:val="00D20252"/>
    <w:rPr>
      <w:rFonts w:ascii="Century Gothic" w:hAnsi="Century Gothic" w:cs="Arial"/>
      <w:szCs w:val="22"/>
    </w:rPr>
  </w:style>
  <w:style w:type="paragraph" w:customStyle="1" w:styleId="SubHeading">
    <w:name w:val="Sub Heading"/>
    <w:basedOn w:val="text"/>
    <w:link w:val="SubHeadingChar"/>
    <w:rsid w:val="002011E3"/>
    <w:rPr>
      <w:u w:val="single"/>
    </w:rPr>
  </w:style>
  <w:style w:type="paragraph" w:customStyle="1" w:styleId="CaseAnswerHead">
    <w:name w:val="Case Answer Head"/>
    <w:basedOn w:val="text"/>
    <w:link w:val="CaseAnswerHeadChar"/>
    <w:qFormat/>
    <w:rsid w:val="001F3D20"/>
    <w:pPr>
      <w:ind w:left="720" w:hanging="720"/>
    </w:pPr>
    <w:rPr>
      <w:b/>
    </w:rPr>
  </w:style>
  <w:style w:type="character" w:customStyle="1" w:styleId="SubHeadingChar">
    <w:name w:val="Sub Heading Char"/>
    <w:basedOn w:val="textChar"/>
    <w:link w:val="SubHeading"/>
    <w:rsid w:val="002011E3"/>
    <w:rPr>
      <w:rFonts w:ascii="Century Gothic" w:hAnsi="Century Gothic" w:cs="Arial"/>
      <w:szCs w:val="22"/>
      <w:u w:val="single"/>
    </w:rPr>
  </w:style>
  <w:style w:type="character" w:customStyle="1" w:styleId="CaseAnswerHeadChar">
    <w:name w:val="Case Answer Head Char"/>
    <w:basedOn w:val="textChar"/>
    <w:link w:val="CaseAnswerHead"/>
    <w:rsid w:val="001F3D20"/>
    <w:rPr>
      <w:rFonts w:ascii="Century Gothic" w:hAnsi="Century Gothic" w:cs="Arial"/>
      <w:b/>
      <w:szCs w:val="22"/>
    </w:rPr>
  </w:style>
  <w:style w:type="paragraph" w:customStyle="1" w:styleId="Copyright">
    <w:name w:val="Copyright"/>
    <w:basedOn w:val="Normal"/>
    <w:link w:val="CopyrightChar"/>
    <w:qFormat/>
    <w:rsid w:val="00707A2B"/>
    <w:pPr>
      <w:spacing w:before="40"/>
      <w:jc w:val="center"/>
    </w:pPr>
    <w:rPr>
      <w:rFonts w:ascii="Times New Roman" w:hAnsi="Times New Roman"/>
      <w:sz w:val="15"/>
      <w:szCs w:val="15"/>
    </w:rPr>
  </w:style>
  <w:style w:type="character" w:customStyle="1" w:styleId="CopyrightChar">
    <w:name w:val="Copyright Char"/>
    <w:basedOn w:val="DefaultParagraphFont"/>
    <w:link w:val="Copyright"/>
    <w:rsid w:val="00707A2B"/>
    <w:rPr>
      <w:sz w:val="15"/>
      <w:szCs w:val="15"/>
    </w:rPr>
  </w:style>
  <w:style w:type="paragraph" w:customStyle="1" w:styleId="PageNo">
    <w:name w:val="Page No."/>
    <w:basedOn w:val="Normal"/>
    <w:link w:val="PageNoChar"/>
    <w:qFormat/>
    <w:rsid w:val="00793520"/>
    <w:pPr>
      <w:jc w:val="center"/>
    </w:pPr>
    <w:rPr>
      <w:rFonts w:ascii="Arial" w:hAnsi="Arial" w:cs="Arial"/>
      <w:sz w:val="18"/>
      <w:szCs w:val="18"/>
    </w:rPr>
  </w:style>
  <w:style w:type="character" w:customStyle="1" w:styleId="PageNoChar">
    <w:name w:val="Page No. Char"/>
    <w:basedOn w:val="DefaultParagraphFont"/>
    <w:link w:val="PageNo"/>
    <w:rsid w:val="00793520"/>
    <w:rPr>
      <w:rFonts w:ascii="Arial" w:hAnsi="Arial" w:cs="Arial"/>
      <w:sz w:val="18"/>
      <w:szCs w:val="18"/>
    </w:rPr>
  </w:style>
  <w:style w:type="paragraph" w:customStyle="1" w:styleId="Gridtext">
    <w:name w:val="Grid text"/>
    <w:basedOn w:val="text"/>
    <w:link w:val="GridtextChar"/>
    <w:qFormat/>
    <w:rsid w:val="006B444D"/>
    <w:pPr>
      <w:spacing w:before="40"/>
    </w:pPr>
    <w:rPr>
      <w:szCs w:val="20"/>
    </w:rPr>
  </w:style>
  <w:style w:type="character" w:customStyle="1" w:styleId="GridtextChar">
    <w:name w:val="Grid text Char"/>
    <w:basedOn w:val="textChar"/>
    <w:link w:val="Gridtext"/>
    <w:rsid w:val="006B444D"/>
    <w:rPr>
      <w:rFonts w:ascii="Century Gothic" w:hAnsi="Century Gothic" w:cs="Arial"/>
      <w:szCs w:val="22"/>
    </w:rPr>
  </w:style>
  <w:style w:type="paragraph" w:customStyle="1" w:styleId="Gridtextheads">
    <w:name w:val="Grid text heads"/>
    <w:basedOn w:val="text"/>
    <w:link w:val="GridtextheadsChar"/>
    <w:qFormat/>
    <w:rsid w:val="006B444D"/>
    <w:pPr>
      <w:spacing w:before="40" w:after="80"/>
      <w:jc w:val="center"/>
    </w:pPr>
    <w:rPr>
      <w:b/>
      <w:smallCaps/>
      <w:sz w:val="18"/>
      <w:szCs w:val="18"/>
    </w:rPr>
  </w:style>
  <w:style w:type="character" w:customStyle="1" w:styleId="GridtextheadsChar">
    <w:name w:val="Grid text heads Char"/>
    <w:basedOn w:val="textChar"/>
    <w:link w:val="Gridtextheads"/>
    <w:rsid w:val="006B444D"/>
    <w:rPr>
      <w:rFonts w:ascii="Century Gothic" w:hAnsi="Century Gothic" w:cs="Arial"/>
      <w:b/>
      <w:small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88196">
      <w:bodyDiv w:val="1"/>
      <w:marLeft w:val="0"/>
      <w:marRight w:val="0"/>
      <w:marTop w:val="0"/>
      <w:marBottom w:val="0"/>
      <w:divBdr>
        <w:top w:val="none" w:sz="0" w:space="0" w:color="auto"/>
        <w:left w:val="none" w:sz="0" w:space="0" w:color="auto"/>
        <w:bottom w:val="none" w:sz="0" w:space="0" w:color="auto"/>
        <w:right w:val="none" w:sz="0" w:space="0" w:color="auto"/>
      </w:divBdr>
    </w:div>
    <w:div w:id="123420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sc.fasb.or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aahq.org/ascLogin.cf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c.fasb.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aahq.org/ascLogin.cf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fasb.org" TargetMode="External"/><Relationship Id="rId14" Type="http://schemas.openxmlformats.org/officeDocument/2006/relationships/hyperlink" Target="http://aaahq.org/ascLogi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407DA-0C79-49C6-B976-1B4DFBCDE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10367</Words>
  <Characters>59093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CHAPTER 1</vt:lpstr>
    </vt:vector>
  </TitlesOfParts>
  <Company>Kelley School of Business</Company>
  <LinksUpToDate>false</LinksUpToDate>
  <CharactersWithSpaces>69322</CharactersWithSpaces>
  <SharedDoc>false</SharedDoc>
  <HLinks>
    <vt:vector size="36" baseType="variant">
      <vt:variant>
        <vt:i4>1966086</vt:i4>
      </vt:variant>
      <vt:variant>
        <vt:i4>15</vt:i4>
      </vt:variant>
      <vt:variant>
        <vt:i4>0</vt:i4>
      </vt:variant>
      <vt:variant>
        <vt:i4>5</vt:i4>
      </vt:variant>
      <vt:variant>
        <vt:lpwstr>http://aaahq.org/ascLogin.cfm</vt:lpwstr>
      </vt:variant>
      <vt:variant>
        <vt:lpwstr/>
      </vt:variant>
      <vt:variant>
        <vt:i4>5177439</vt:i4>
      </vt:variant>
      <vt:variant>
        <vt:i4>12</vt:i4>
      </vt:variant>
      <vt:variant>
        <vt:i4>0</vt:i4>
      </vt:variant>
      <vt:variant>
        <vt:i4>5</vt:i4>
      </vt:variant>
      <vt:variant>
        <vt:lpwstr>http://asc.fasb.org/</vt:lpwstr>
      </vt:variant>
      <vt:variant>
        <vt:lpwstr/>
      </vt:variant>
      <vt:variant>
        <vt:i4>1966086</vt:i4>
      </vt:variant>
      <vt:variant>
        <vt:i4>9</vt:i4>
      </vt:variant>
      <vt:variant>
        <vt:i4>0</vt:i4>
      </vt:variant>
      <vt:variant>
        <vt:i4>5</vt:i4>
      </vt:variant>
      <vt:variant>
        <vt:lpwstr>http://aaahq.org/ascLogin.cfm</vt:lpwstr>
      </vt:variant>
      <vt:variant>
        <vt:lpwstr/>
      </vt:variant>
      <vt:variant>
        <vt:i4>5177439</vt:i4>
      </vt:variant>
      <vt:variant>
        <vt:i4>6</vt:i4>
      </vt:variant>
      <vt:variant>
        <vt:i4>0</vt:i4>
      </vt:variant>
      <vt:variant>
        <vt:i4>5</vt:i4>
      </vt:variant>
      <vt:variant>
        <vt:lpwstr>http://asc.fasb.org/</vt:lpwstr>
      </vt:variant>
      <vt:variant>
        <vt:lpwstr/>
      </vt:variant>
      <vt:variant>
        <vt:i4>1966086</vt:i4>
      </vt:variant>
      <vt:variant>
        <vt:i4>3</vt:i4>
      </vt:variant>
      <vt:variant>
        <vt:i4>0</vt:i4>
      </vt:variant>
      <vt:variant>
        <vt:i4>5</vt:i4>
      </vt:variant>
      <vt:variant>
        <vt:lpwstr>http://aaahq.org/ascLogin.cfm</vt:lpwstr>
      </vt:variant>
      <vt:variant>
        <vt:lpwstr/>
      </vt:variant>
      <vt:variant>
        <vt:i4>5177439</vt:i4>
      </vt:variant>
      <vt:variant>
        <vt:i4>0</vt:i4>
      </vt:variant>
      <vt:variant>
        <vt:i4>0</vt:i4>
      </vt:variant>
      <vt:variant>
        <vt:i4>5</vt:i4>
      </vt:variant>
      <vt:variant>
        <vt:lpwstr>http://asc.fasb.org/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Valerie Havrilla</dc:creator>
  <cp:lastModifiedBy>Gross, Jonathan A</cp:lastModifiedBy>
  <cp:revision>2</cp:revision>
  <cp:lastPrinted>2014-11-21T10:16:00Z</cp:lastPrinted>
  <dcterms:created xsi:type="dcterms:W3CDTF">2016-06-13T15:31:00Z</dcterms:created>
  <dcterms:modified xsi:type="dcterms:W3CDTF">2016-06-13T15:31:00Z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